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B1F17" w14:textId="195B2BDB" w:rsidR="00884599" w:rsidRPr="004826D1" w:rsidRDefault="000654E1" w:rsidP="00884599">
      <w:pPr>
        <w:pStyle w:val="NormalParagraphStyle"/>
        <w:spacing w:line="240" w:lineRule="auto"/>
        <w:jc w:val="right"/>
        <w:rPr>
          <w:rFonts w:ascii="Trade Gothic LT Com" w:hAnsi="Trade Gothic LT Com" w:cs="TradeGothicLTCom"/>
          <w:sz w:val="18"/>
          <w:szCs w:val="18"/>
          <w:lang w:val="lv-LV"/>
        </w:rPr>
      </w:pPr>
      <w:r>
        <w:rPr>
          <w:noProof/>
          <w:szCs w:val="20"/>
          <w:lang w:val="lv-LV" w:eastAsia="lv-LV" w:bidi="ar-SA"/>
        </w:rPr>
        <mc:AlternateContent>
          <mc:Choice Requires="wps">
            <w:drawing>
              <wp:anchor distT="0" distB="0" distL="114300" distR="114300" simplePos="0" relativeHeight="251660800" behindDoc="0" locked="0" layoutInCell="1" allowOverlap="1" wp14:anchorId="1148851A" wp14:editId="6AF02227">
                <wp:simplePos x="0" y="0"/>
                <wp:positionH relativeFrom="column">
                  <wp:posOffset>-57785</wp:posOffset>
                </wp:positionH>
                <wp:positionV relativeFrom="paragraph">
                  <wp:posOffset>-192405</wp:posOffset>
                </wp:positionV>
                <wp:extent cx="2647950" cy="717550"/>
                <wp:effectExtent l="0" t="0" r="635" b="0"/>
                <wp:wrapNone/>
                <wp:docPr id="5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47950" cy="7175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4EF62" id="AutoShape 8" o:spid="_x0000_s1026" style="position:absolute;margin-left:-4.55pt;margin-top:-15.15pt;width:208.5pt;height: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" filled="f" stroked="f">
                <o:lock v:ext="edit" aspectratio="t"/>
              </v:rect>
            </w:pict>
          </mc:Fallback>
        </mc:AlternateContent>
      </w:r>
      <w:r w:rsidR="00884599" w:rsidRPr="004826D1">
        <w:rPr>
          <w:rFonts w:ascii="Trade Gothic LT Com" w:hAnsi="Trade Gothic LT Com" w:cs="TradeGothicLTCom"/>
          <w:sz w:val="18"/>
          <w:szCs w:val="18"/>
          <w:lang w:val="lv-LV"/>
        </w:rPr>
        <w:t>SIA „Enviroprojekts”</w:t>
      </w:r>
    </w:p>
    <w:p w14:paraId="732472DE"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Mazā Nometņu iela 31, Rīga, LV-1002</w:t>
      </w:r>
    </w:p>
    <w:p w14:paraId="5857B3B8"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Tālrunis: +371 29</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84</w:t>
      </w:r>
    </w:p>
    <w:p w14:paraId="37968A76"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E-pasts: info@enviro.lv</w:t>
      </w:r>
    </w:p>
    <w:p w14:paraId="254AAAEF"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 xml:space="preserve">Tīmekļvietne: </w:t>
      </w:r>
      <w:hyperlink r:id="rId8" w:history="1">
        <w:r w:rsidRPr="004826D1">
          <w:rPr>
            <w:rStyle w:val="Hyperlink"/>
            <w:rFonts w:ascii="Trade Gothic LT Com" w:eastAsia="Calibri" w:hAnsi="Trade Gothic LT Com" w:cs="TradeGothicLTCom"/>
            <w:sz w:val="18"/>
            <w:szCs w:val="18"/>
            <w:lang w:val="lv-LV"/>
          </w:rPr>
          <w:t>www.enviro.lv</w:t>
        </w:r>
      </w:hyperlink>
    </w:p>
    <w:p w14:paraId="3C8C530A"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p>
    <w:p w14:paraId="6E5A73A8" w14:textId="77777777" w:rsidR="00EB7E97" w:rsidRPr="004826D1" w:rsidRDefault="00EB7E97" w:rsidP="00EC5ADD">
      <w:pPr>
        <w:pStyle w:val="autors"/>
        <w:jc w:val="center"/>
        <w:rPr>
          <w:rFonts w:cs="Times New Roman"/>
          <w:b/>
          <w:sz w:val="44"/>
          <w:szCs w:val="44"/>
        </w:rPr>
      </w:pPr>
    </w:p>
    <w:p w14:paraId="1F13E9BF" w14:textId="77777777" w:rsidR="00EB7E97" w:rsidRPr="004826D1" w:rsidRDefault="00EB7E97" w:rsidP="00EC5ADD">
      <w:pPr>
        <w:pStyle w:val="autors"/>
        <w:jc w:val="center"/>
        <w:rPr>
          <w:rFonts w:cs="Times New Roman"/>
          <w:b/>
          <w:sz w:val="44"/>
          <w:szCs w:val="44"/>
        </w:rPr>
      </w:pPr>
    </w:p>
    <w:p w14:paraId="59FB05A6" w14:textId="77777777" w:rsidR="00884599" w:rsidRPr="004826D1" w:rsidRDefault="00884599" w:rsidP="00EC5ADD">
      <w:pPr>
        <w:pStyle w:val="autors"/>
        <w:jc w:val="center"/>
        <w:rPr>
          <w:rFonts w:cs="Times New Roman"/>
          <w:b/>
          <w:sz w:val="44"/>
          <w:szCs w:val="44"/>
        </w:rPr>
      </w:pPr>
    </w:p>
    <w:p w14:paraId="0E14932A" w14:textId="77777777" w:rsidR="00884599" w:rsidRPr="004826D1" w:rsidRDefault="00884599" w:rsidP="00EC5ADD">
      <w:pPr>
        <w:pStyle w:val="autors"/>
        <w:jc w:val="center"/>
        <w:rPr>
          <w:rFonts w:cs="Times New Roman"/>
          <w:b/>
          <w:sz w:val="44"/>
          <w:szCs w:val="44"/>
        </w:rPr>
      </w:pPr>
    </w:p>
    <w:p w14:paraId="465E6E46"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LATVIJAS NACIONĀLAIS</w:t>
      </w:r>
    </w:p>
    <w:p w14:paraId="2FB9603A"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ENERĢĒTIKAS UN KLIMATA PLĀNS</w:t>
      </w:r>
    </w:p>
    <w:p w14:paraId="75AD6104" w14:textId="77777777" w:rsidR="00EC5ADD" w:rsidRPr="004826D1" w:rsidRDefault="00666B5F" w:rsidP="00EC5ADD">
      <w:pPr>
        <w:pStyle w:val="autors"/>
        <w:jc w:val="center"/>
        <w:rPr>
          <w:rFonts w:cs="Times New Roman"/>
          <w:b/>
          <w:sz w:val="44"/>
          <w:szCs w:val="44"/>
        </w:rPr>
      </w:pPr>
      <w:r w:rsidRPr="004826D1">
        <w:rPr>
          <w:rFonts w:cs="Times New Roman"/>
          <w:b/>
          <w:sz w:val="44"/>
          <w:szCs w:val="44"/>
        </w:rPr>
        <w:t>2021. – 2030. GADAM</w:t>
      </w:r>
    </w:p>
    <w:p w14:paraId="176FCF64" w14:textId="77777777" w:rsidR="00977054" w:rsidRPr="004826D1" w:rsidRDefault="00977054" w:rsidP="00EC5ADD">
      <w:pPr>
        <w:pStyle w:val="autors"/>
        <w:jc w:val="center"/>
        <w:rPr>
          <w:rFonts w:cs="Times New Roman"/>
          <w:b/>
          <w:sz w:val="44"/>
          <w:szCs w:val="44"/>
        </w:rPr>
      </w:pPr>
    </w:p>
    <w:p w14:paraId="3773E966" w14:textId="77777777" w:rsidR="00666B5F" w:rsidRPr="004826D1" w:rsidRDefault="00030648" w:rsidP="00EC5ADD">
      <w:pPr>
        <w:pStyle w:val="autors"/>
        <w:jc w:val="center"/>
        <w:rPr>
          <w:rFonts w:cs="Times New Roman"/>
          <w:b/>
          <w:sz w:val="44"/>
          <w:szCs w:val="44"/>
        </w:rPr>
      </w:pPr>
      <w:r w:rsidRPr="004826D1">
        <w:rPr>
          <w:rFonts w:cs="Times New Roman"/>
          <w:b/>
          <w:sz w:val="44"/>
          <w:szCs w:val="44"/>
        </w:rPr>
        <w:t>2024. gada aktualizācija</w:t>
      </w:r>
    </w:p>
    <w:p w14:paraId="74CDBF20" w14:textId="77777777" w:rsidR="00030648" w:rsidRPr="004826D1" w:rsidRDefault="00030648" w:rsidP="00EC5ADD">
      <w:pPr>
        <w:pStyle w:val="autors"/>
        <w:jc w:val="center"/>
        <w:rPr>
          <w:rFonts w:cs="Times New Roman"/>
          <w:b/>
          <w:sz w:val="44"/>
          <w:szCs w:val="44"/>
        </w:rPr>
      </w:pPr>
    </w:p>
    <w:p w14:paraId="142A1CFF" w14:textId="77777777" w:rsidR="00EC5ADD" w:rsidRPr="004826D1" w:rsidRDefault="00666B5F" w:rsidP="00EC5ADD">
      <w:pPr>
        <w:jc w:val="center"/>
        <w:rPr>
          <w:rFonts w:cs="Times New Roman"/>
          <w:b/>
          <w:sz w:val="44"/>
          <w:szCs w:val="44"/>
        </w:rPr>
      </w:pPr>
      <w:r w:rsidRPr="004826D1">
        <w:rPr>
          <w:rFonts w:cs="Times New Roman"/>
          <w:b/>
          <w:sz w:val="44"/>
          <w:szCs w:val="44"/>
        </w:rPr>
        <w:t>S</w:t>
      </w:r>
      <w:r w:rsidR="00EC5ADD" w:rsidRPr="004826D1">
        <w:rPr>
          <w:rFonts w:cs="Times New Roman"/>
          <w:b/>
          <w:sz w:val="44"/>
          <w:szCs w:val="44"/>
        </w:rPr>
        <w:t>tratēģiskais ietekmes uz vidi novērtējums</w:t>
      </w:r>
    </w:p>
    <w:p w14:paraId="2EA72B8B" w14:textId="77777777" w:rsidR="00EC5ADD" w:rsidRPr="004826D1" w:rsidRDefault="00EC5ADD" w:rsidP="00EC5ADD">
      <w:pPr>
        <w:rPr>
          <w:rFonts w:cs="Times New Roman"/>
          <w:b/>
          <w:sz w:val="44"/>
          <w:szCs w:val="44"/>
        </w:rPr>
      </w:pPr>
    </w:p>
    <w:p w14:paraId="5E3E4338" w14:textId="77777777" w:rsidR="00EC5ADD" w:rsidRPr="004826D1" w:rsidRDefault="00EC5ADD" w:rsidP="00EC5ADD">
      <w:pPr>
        <w:jc w:val="center"/>
        <w:rPr>
          <w:rFonts w:cs="Times New Roman"/>
          <w:b/>
          <w:sz w:val="44"/>
          <w:szCs w:val="44"/>
        </w:rPr>
      </w:pPr>
      <w:r w:rsidRPr="004826D1">
        <w:rPr>
          <w:rFonts w:cs="Times New Roman"/>
          <w:b/>
          <w:sz w:val="44"/>
          <w:szCs w:val="44"/>
        </w:rPr>
        <w:t>Vides pārskat</w:t>
      </w:r>
      <w:r w:rsidR="00B877A8">
        <w:rPr>
          <w:rFonts w:cs="Times New Roman"/>
          <w:b/>
          <w:sz w:val="44"/>
          <w:szCs w:val="44"/>
        </w:rPr>
        <w:t>a projekt</w:t>
      </w:r>
      <w:r w:rsidR="00991E70" w:rsidRPr="004826D1">
        <w:rPr>
          <w:rFonts w:cs="Times New Roman"/>
          <w:b/>
          <w:sz w:val="44"/>
          <w:szCs w:val="44"/>
        </w:rPr>
        <w:t>s</w:t>
      </w:r>
    </w:p>
    <w:p w14:paraId="15A59F60" w14:textId="77777777" w:rsidR="00EC5ADD" w:rsidRPr="004826D1" w:rsidRDefault="00EC5ADD" w:rsidP="00EC5ADD">
      <w:pPr>
        <w:rPr>
          <w:rFonts w:cs="Times New Roman"/>
          <w:b/>
          <w:sz w:val="28"/>
        </w:rPr>
      </w:pPr>
    </w:p>
    <w:p w14:paraId="0DDFEC29" w14:textId="77777777" w:rsidR="00EC5ADD" w:rsidRPr="004826D1" w:rsidRDefault="00EC5ADD" w:rsidP="00EC5ADD">
      <w:pPr>
        <w:jc w:val="center"/>
        <w:rPr>
          <w:rFonts w:cs="Times New Roman"/>
          <w:b/>
          <w:sz w:val="36"/>
          <w:szCs w:val="36"/>
        </w:rPr>
      </w:pPr>
    </w:p>
    <w:p w14:paraId="6273A2E8" w14:textId="77777777" w:rsidR="00EC5ADD" w:rsidRPr="004826D1" w:rsidRDefault="00EC5ADD" w:rsidP="00EC5ADD">
      <w:pPr>
        <w:jc w:val="center"/>
        <w:rPr>
          <w:rFonts w:cs="Times New Roman"/>
          <w:b/>
          <w:sz w:val="36"/>
          <w:szCs w:val="36"/>
        </w:rPr>
      </w:pPr>
    </w:p>
    <w:p w14:paraId="093D7919" w14:textId="77777777" w:rsidR="00EC5ADD" w:rsidRPr="004826D1" w:rsidRDefault="00EC5ADD" w:rsidP="00EC5ADD">
      <w:pPr>
        <w:jc w:val="center"/>
        <w:rPr>
          <w:rFonts w:cs="Times New Roman"/>
          <w:b/>
          <w:sz w:val="36"/>
          <w:szCs w:val="36"/>
        </w:rPr>
      </w:pPr>
    </w:p>
    <w:p w14:paraId="165B6D41"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Pasūtītājs: </w:t>
      </w:r>
      <w:r w:rsidR="00A97790" w:rsidRPr="004826D1">
        <w:rPr>
          <w:rFonts w:cs="Times New Roman"/>
          <w:spacing w:val="-4"/>
          <w:sz w:val="32"/>
        </w:rPr>
        <w:t xml:space="preserve">LR </w:t>
      </w:r>
      <w:r w:rsidR="00030648" w:rsidRPr="004826D1">
        <w:rPr>
          <w:rFonts w:cs="Times New Roman"/>
          <w:spacing w:val="-4"/>
          <w:sz w:val="32"/>
        </w:rPr>
        <w:t>Klimata un enerģētikas ministrija</w:t>
      </w:r>
    </w:p>
    <w:p w14:paraId="4C7B20CB"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Līguma </w:t>
      </w:r>
      <w:r w:rsidR="009A47CF" w:rsidRPr="004826D1">
        <w:rPr>
          <w:rFonts w:cs="Times New Roman"/>
          <w:spacing w:val="-4"/>
          <w:sz w:val="32"/>
        </w:rPr>
        <w:t>N</w:t>
      </w:r>
      <w:r w:rsidRPr="004826D1">
        <w:rPr>
          <w:rFonts w:cs="Times New Roman"/>
          <w:spacing w:val="-4"/>
          <w:sz w:val="32"/>
        </w:rPr>
        <w:t>r</w:t>
      </w:r>
      <w:r w:rsidR="00030648" w:rsidRPr="004826D1">
        <w:rPr>
          <w:rFonts w:cs="Times New Roman"/>
          <w:spacing w:val="-4"/>
          <w:sz w:val="32"/>
        </w:rPr>
        <w:t>.IL/5/2024/KEM</w:t>
      </w:r>
    </w:p>
    <w:p w14:paraId="2AA5DED8" w14:textId="77777777" w:rsidR="00EC5ADD" w:rsidRPr="004826D1" w:rsidRDefault="00EC5ADD" w:rsidP="00EC5ADD">
      <w:pPr>
        <w:jc w:val="center"/>
        <w:rPr>
          <w:rFonts w:cs="Times New Roman"/>
          <w:b/>
          <w:sz w:val="36"/>
          <w:szCs w:val="36"/>
        </w:rPr>
      </w:pPr>
    </w:p>
    <w:p w14:paraId="3862C8CE" w14:textId="77777777" w:rsidR="00874BCB" w:rsidRPr="004826D1" w:rsidRDefault="00874BCB" w:rsidP="00EC5ADD">
      <w:pPr>
        <w:jc w:val="center"/>
        <w:rPr>
          <w:rFonts w:cs="Times New Roman"/>
          <w:b/>
          <w:sz w:val="36"/>
          <w:szCs w:val="36"/>
        </w:rPr>
      </w:pPr>
    </w:p>
    <w:p w14:paraId="40BE537D" w14:textId="77777777" w:rsidR="00884599" w:rsidRPr="004826D1" w:rsidRDefault="00884599" w:rsidP="00EC5ADD">
      <w:pPr>
        <w:jc w:val="center"/>
        <w:rPr>
          <w:rFonts w:cs="Times New Roman"/>
          <w:b/>
          <w:sz w:val="36"/>
          <w:szCs w:val="36"/>
        </w:rPr>
      </w:pPr>
    </w:p>
    <w:p w14:paraId="6095B547" w14:textId="77777777" w:rsidR="00EC5ADD" w:rsidRPr="004826D1" w:rsidRDefault="00EB7E97" w:rsidP="00977054">
      <w:pPr>
        <w:jc w:val="center"/>
        <w:rPr>
          <w:rFonts w:cs="Times New Roman"/>
          <w:sz w:val="28"/>
        </w:rPr>
      </w:pPr>
      <w:r w:rsidRPr="004826D1">
        <w:rPr>
          <w:rFonts w:cs="Times New Roman"/>
          <w:b/>
          <w:sz w:val="36"/>
          <w:szCs w:val="36"/>
        </w:rPr>
        <w:t>20</w:t>
      </w:r>
      <w:r w:rsidR="00030648" w:rsidRPr="004826D1">
        <w:rPr>
          <w:rFonts w:cs="Times New Roman"/>
          <w:b/>
          <w:sz w:val="36"/>
          <w:szCs w:val="36"/>
        </w:rPr>
        <w:t>24</w:t>
      </w:r>
      <w:r w:rsidR="00EC5ADD" w:rsidRPr="004826D1">
        <w:rPr>
          <w:rFonts w:cs="Times New Roman"/>
          <w:b/>
          <w:sz w:val="36"/>
          <w:szCs w:val="36"/>
        </w:rPr>
        <w:t xml:space="preserve">. gada </w:t>
      </w:r>
      <w:r w:rsidR="00030648" w:rsidRPr="004826D1">
        <w:rPr>
          <w:rFonts w:cs="Times New Roman"/>
          <w:b/>
          <w:sz w:val="36"/>
          <w:szCs w:val="36"/>
        </w:rPr>
        <w:t>jūnij</w:t>
      </w:r>
      <w:r w:rsidR="00CC25EA" w:rsidRPr="004826D1">
        <w:rPr>
          <w:rFonts w:cs="Times New Roman"/>
          <w:b/>
          <w:sz w:val="36"/>
          <w:szCs w:val="36"/>
        </w:rPr>
        <w:t>s</w:t>
      </w:r>
    </w:p>
    <w:p w14:paraId="6A5860F2" w14:textId="77777777" w:rsidR="00EC5ADD" w:rsidRPr="004826D1" w:rsidRDefault="00EC5ADD" w:rsidP="00EC5ADD">
      <w:pPr>
        <w:rPr>
          <w:rFonts w:cs="Times New Roman"/>
          <w:sz w:val="28"/>
        </w:rPr>
        <w:sectPr w:rsidR="00EC5ADD" w:rsidRPr="004826D1" w:rsidSect="00E063A0">
          <w:footerReference w:type="default" r:id="rId9"/>
          <w:pgSz w:w="11906" w:h="16838"/>
          <w:pgMar w:top="1134" w:right="1134" w:bottom="1134" w:left="1701" w:header="709" w:footer="709" w:gutter="0"/>
          <w:pgNumType w:start="1"/>
          <w:cols w:space="708"/>
          <w:titlePg/>
          <w:docGrid w:linePitch="360"/>
        </w:sectPr>
      </w:pPr>
    </w:p>
    <w:p w14:paraId="5B8C234A" w14:textId="6B223000" w:rsidR="00EC5ADD" w:rsidRPr="004826D1" w:rsidRDefault="000654E1" w:rsidP="00EC5ADD">
      <w:pPr>
        <w:rPr>
          <w:rFonts w:cs="Times New Roman"/>
          <w:b/>
          <w:sz w:val="28"/>
        </w:rPr>
      </w:pPr>
      <w:r>
        <w:rPr>
          <w:b/>
          <w:noProof/>
          <w:sz w:val="28"/>
          <w:lang w:eastAsia="lv-LV"/>
        </w:rPr>
        <w:lastRenderedPageBreak/>
        <mc:AlternateContent>
          <mc:Choice Requires="wps">
            <w:drawing>
              <wp:anchor distT="0" distB="0" distL="114300" distR="114300" simplePos="0" relativeHeight="251659776" behindDoc="0" locked="0" layoutInCell="1" allowOverlap="1" wp14:anchorId="26270067" wp14:editId="7717E7BD">
                <wp:simplePos x="0" y="0"/>
                <wp:positionH relativeFrom="column">
                  <wp:posOffset>-1371600</wp:posOffset>
                </wp:positionH>
                <wp:positionV relativeFrom="paragraph">
                  <wp:posOffset>3805555</wp:posOffset>
                </wp:positionV>
                <wp:extent cx="6858000" cy="0"/>
                <wp:effectExtent l="0" t="0" r="0" b="4445"/>
                <wp:wrapSquare wrapText="bothSides"/>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2273012" id="Rectangle 7" o:spid="_x0000_s1026" style="position:absolute;margin-left:-108pt;margin-top:299.65pt;width:540pt;height:0;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8752" behindDoc="0" locked="0" layoutInCell="1" allowOverlap="1" wp14:anchorId="41472D9C" wp14:editId="1F4A2AB3">
                <wp:simplePos x="0" y="0"/>
                <wp:positionH relativeFrom="column">
                  <wp:posOffset>-1371600</wp:posOffset>
                </wp:positionH>
                <wp:positionV relativeFrom="paragraph">
                  <wp:posOffset>2724150</wp:posOffset>
                </wp:positionV>
                <wp:extent cx="6858000" cy="0"/>
                <wp:effectExtent l="0" t="0" r="0" b="0"/>
                <wp:wrapSquare wrapText="bothSides"/>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D464A3E" id="Rectangle 6" o:spid="_x0000_s1026" style="position:absolute;margin-left:-108pt;margin-top:214.5pt;width:540pt;height:0;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7728" behindDoc="0" locked="0" layoutInCell="1" allowOverlap="1" wp14:anchorId="62AD8A5E" wp14:editId="4800EFAD">
                <wp:simplePos x="0" y="0"/>
                <wp:positionH relativeFrom="column">
                  <wp:posOffset>-1371600</wp:posOffset>
                </wp:positionH>
                <wp:positionV relativeFrom="paragraph">
                  <wp:posOffset>3805555</wp:posOffset>
                </wp:positionV>
                <wp:extent cx="6858000" cy="0"/>
                <wp:effectExtent l="0" t="0" r="0" b="4445"/>
                <wp:wrapSquare wrapText="bothSides"/>
                <wp:docPr id="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D6B194D" id="Rectangle 5" o:spid="_x0000_s1026" style="position:absolute;margin-left:-108pt;margin-top:299.65pt;width:540pt;height:0;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6704" behindDoc="0" locked="0" layoutInCell="1" allowOverlap="1" wp14:anchorId="36A22A0A" wp14:editId="7A6E682F">
                <wp:simplePos x="0" y="0"/>
                <wp:positionH relativeFrom="column">
                  <wp:posOffset>-1371600</wp:posOffset>
                </wp:positionH>
                <wp:positionV relativeFrom="paragraph">
                  <wp:posOffset>2724150</wp:posOffset>
                </wp:positionV>
                <wp:extent cx="6858000" cy="0"/>
                <wp:effectExtent l="0" t="0" r="0" b="0"/>
                <wp:wrapSquare wrapText="bothSides"/>
                <wp:docPr id="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9B15815" id="Rectangle 4" o:spid="_x0000_s1026" style="position:absolute;margin-left:-108pt;margin-top:214.5pt;width:540pt;height:0;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5680" behindDoc="0" locked="0" layoutInCell="1" allowOverlap="1" wp14:anchorId="06339F12" wp14:editId="64D72E98">
                <wp:simplePos x="0" y="0"/>
                <wp:positionH relativeFrom="column">
                  <wp:posOffset>-1371600</wp:posOffset>
                </wp:positionH>
                <wp:positionV relativeFrom="paragraph">
                  <wp:posOffset>3805555</wp:posOffset>
                </wp:positionV>
                <wp:extent cx="6858000" cy="0"/>
                <wp:effectExtent l="0" t="0" r="0" b="4445"/>
                <wp:wrapNone/>
                <wp:docPr id="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592962E" id="Rectangle 3" o:spid="_x0000_s1026" style="position:absolute;margin-left:-108pt;margin-top:299.65pt;width:540pt;height:0;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" filled="f" fillcolor="#0c9" stroked="f">
                <v:textbox style="mso-fit-shape-to-text:t"/>
              </v:rect>
            </w:pict>
          </mc:Fallback>
        </mc:AlternateContent>
      </w:r>
      <w:r>
        <w:rPr>
          <w:b/>
          <w:noProof/>
          <w:sz w:val="28"/>
          <w:lang w:eastAsia="lv-LV"/>
        </w:rPr>
        <mc:AlternateContent>
          <mc:Choice Requires="wps">
            <w:drawing>
              <wp:anchor distT="0" distB="0" distL="114300" distR="114300" simplePos="0" relativeHeight="251654656" behindDoc="0" locked="0" layoutInCell="1" allowOverlap="1" wp14:anchorId="056A3C6D" wp14:editId="1FF73B9C">
                <wp:simplePos x="0" y="0"/>
                <wp:positionH relativeFrom="column">
                  <wp:posOffset>-1371600</wp:posOffset>
                </wp:positionH>
                <wp:positionV relativeFrom="paragraph">
                  <wp:posOffset>2724150</wp:posOffset>
                </wp:positionV>
                <wp:extent cx="6858000" cy="0"/>
                <wp:effectExtent l="0" t="0" r="0" b="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E77AB4D" id="Rectangle 2" o:spid="_x0000_s1026" style="position:absolute;margin-left:-108pt;margin-top:214.5pt;width:540pt;height:0;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" filled="f" fillcolor="#0c9" stroked="f">
                <v:textbox style="mso-fit-shape-to-text:t"/>
              </v:rect>
            </w:pict>
          </mc:Fallback>
        </mc:AlternateContent>
      </w:r>
      <w:r w:rsidR="00EC5ADD" w:rsidRPr="004826D1">
        <w:rPr>
          <w:rFonts w:cs="Times New Roman"/>
          <w:b/>
          <w:sz w:val="28"/>
        </w:rPr>
        <w:t>Satura rādītājs</w:t>
      </w:r>
    </w:p>
    <w:p w14:paraId="2DCBE4A0" w14:textId="77777777" w:rsidR="000E60E0" w:rsidRDefault="00EC5ADD">
      <w:pPr>
        <w:pStyle w:val="TOC1"/>
        <w:tabs>
          <w:tab w:val="right" w:leader="dot" w:pos="9061"/>
        </w:tabs>
        <w:rPr>
          <w:rFonts w:asciiTheme="minorHAnsi" w:eastAsiaTheme="minorEastAsia" w:hAnsiTheme="minorHAnsi" w:cstheme="minorBidi"/>
          <w:noProof/>
          <w:sz w:val="22"/>
          <w:szCs w:val="22"/>
          <w:lang w:eastAsia="lv-LV"/>
        </w:rPr>
      </w:pPr>
      <w:r w:rsidRPr="004826D1">
        <w:rPr>
          <w:rFonts w:cs="Times New Roman"/>
          <w:spacing w:val="-4"/>
          <w:sz w:val="22"/>
          <w:szCs w:val="22"/>
        </w:rPr>
        <w:fldChar w:fldCharType="begin"/>
      </w:r>
      <w:r w:rsidRPr="004826D1">
        <w:rPr>
          <w:rFonts w:cs="Times New Roman"/>
          <w:spacing w:val="-4"/>
          <w:sz w:val="22"/>
          <w:szCs w:val="22"/>
        </w:rPr>
        <w:instrText xml:space="preserve"> TOC \o "1-3" \h \z \u </w:instrText>
      </w:r>
      <w:r w:rsidRPr="004826D1">
        <w:rPr>
          <w:rFonts w:cs="Times New Roman"/>
          <w:spacing w:val="-4"/>
          <w:sz w:val="22"/>
          <w:szCs w:val="22"/>
        </w:rPr>
        <w:fldChar w:fldCharType="separate"/>
      </w:r>
      <w:hyperlink w:anchor="_Toc169602224" w:history="1">
        <w:r w:rsidR="000E60E0" w:rsidRPr="00EA18E8">
          <w:rPr>
            <w:rStyle w:val="Hyperlink"/>
            <w:noProof/>
          </w:rPr>
          <w:t>Plānā un vides pārskatā lietotie saīsinājumi</w:t>
        </w:r>
        <w:r w:rsidR="000E60E0">
          <w:rPr>
            <w:noProof/>
            <w:webHidden/>
          </w:rPr>
          <w:tab/>
        </w:r>
        <w:r w:rsidR="000E60E0">
          <w:rPr>
            <w:noProof/>
            <w:webHidden/>
          </w:rPr>
          <w:fldChar w:fldCharType="begin"/>
        </w:r>
        <w:r w:rsidR="000E60E0">
          <w:rPr>
            <w:noProof/>
            <w:webHidden/>
          </w:rPr>
          <w:instrText xml:space="preserve"> PAGEREF _Toc169602224 \h </w:instrText>
        </w:r>
        <w:r w:rsidR="000E60E0">
          <w:rPr>
            <w:noProof/>
            <w:webHidden/>
          </w:rPr>
        </w:r>
        <w:r w:rsidR="000E60E0">
          <w:rPr>
            <w:noProof/>
            <w:webHidden/>
          </w:rPr>
          <w:fldChar w:fldCharType="separate"/>
        </w:r>
        <w:r w:rsidR="000E60E0">
          <w:rPr>
            <w:noProof/>
            <w:webHidden/>
          </w:rPr>
          <w:t>4</w:t>
        </w:r>
        <w:r w:rsidR="000E60E0">
          <w:rPr>
            <w:noProof/>
            <w:webHidden/>
          </w:rPr>
          <w:fldChar w:fldCharType="end"/>
        </w:r>
      </w:hyperlink>
    </w:p>
    <w:p w14:paraId="020E8C05"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225" w:history="1">
        <w:r w:rsidR="000E60E0" w:rsidRPr="00EA18E8">
          <w:rPr>
            <w:rStyle w:val="Hyperlink"/>
            <w:noProof/>
          </w:rPr>
          <w:t>1. Kopsavilkums</w:t>
        </w:r>
        <w:r w:rsidR="000E60E0">
          <w:rPr>
            <w:noProof/>
            <w:webHidden/>
          </w:rPr>
          <w:tab/>
        </w:r>
        <w:r w:rsidR="000E60E0">
          <w:rPr>
            <w:noProof/>
            <w:webHidden/>
          </w:rPr>
          <w:fldChar w:fldCharType="begin"/>
        </w:r>
        <w:r w:rsidR="000E60E0">
          <w:rPr>
            <w:noProof/>
            <w:webHidden/>
          </w:rPr>
          <w:instrText xml:space="preserve"> PAGEREF _Toc169602225 \h </w:instrText>
        </w:r>
        <w:r w:rsidR="000E60E0">
          <w:rPr>
            <w:noProof/>
            <w:webHidden/>
          </w:rPr>
        </w:r>
        <w:r w:rsidR="000E60E0">
          <w:rPr>
            <w:noProof/>
            <w:webHidden/>
          </w:rPr>
          <w:fldChar w:fldCharType="separate"/>
        </w:r>
        <w:r w:rsidR="000E60E0">
          <w:rPr>
            <w:noProof/>
            <w:webHidden/>
          </w:rPr>
          <w:t>6</w:t>
        </w:r>
        <w:r w:rsidR="000E60E0">
          <w:rPr>
            <w:noProof/>
            <w:webHidden/>
          </w:rPr>
          <w:fldChar w:fldCharType="end"/>
        </w:r>
      </w:hyperlink>
    </w:p>
    <w:p w14:paraId="031E50A5"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226" w:history="1">
        <w:r w:rsidR="000E60E0" w:rsidRPr="00EA18E8">
          <w:rPr>
            <w:rStyle w:val="Hyperlink"/>
            <w:noProof/>
          </w:rPr>
          <w:t>2. SIVN mērķis</w:t>
        </w:r>
        <w:r w:rsidR="000E60E0">
          <w:rPr>
            <w:noProof/>
            <w:webHidden/>
          </w:rPr>
          <w:tab/>
        </w:r>
        <w:r w:rsidR="000E60E0">
          <w:rPr>
            <w:noProof/>
            <w:webHidden/>
          </w:rPr>
          <w:fldChar w:fldCharType="begin"/>
        </w:r>
        <w:r w:rsidR="000E60E0">
          <w:rPr>
            <w:noProof/>
            <w:webHidden/>
          </w:rPr>
          <w:instrText xml:space="preserve"> PAGEREF _Toc169602226 \h </w:instrText>
        </w:r>
        <w:r w:rsidR="000E60E0">
          <w:rPr>
            <w:noProof/>
            <w:webHidden/>
          </w:rPr>
        </w:r>
        <w:r w:rsidR="000E60E0">
          <w:rPr>
            <w:noProof/>
            <w:webHidden/>
          </w:rPr>
          <w:fldChar w:fldCharType="separate"/>
        </w:r>
        <w:r w:rsidR="000E60E0">
          <w:rPr>
            <w:noProof/>
            <w:webHidden/>
          </w:rPr>
          <w:t>8</w:t>
        </w:r>
        <w:r w:rsidR="000E60E0">
          <w:rPr>
            <w:noProof/>
            <w:webHidden/>
          </w:rPr>
          <w:fldChar w:fldCharType="end"/>
        </w:r>
      </w:hyperlink>
    </w:p>
    <w:p w14:paraId="3D087F98"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227" w:history="1">
        <w:r w:rsidR="000E60E0" w:rsidRPr="00EA18E8">
          <w:rPr>
            <w:rStyle w:val="Hyperlink"/>
            <w:noProof/>
          </w:rPr>
          <w:t>3. Plāna pamatojums vides politikā, likumdošanas un plānošanas ietvarā</w:t>
        </w:r>
        <w:r w:rsidR="000E60E0">
          <w:rPr>
            <w:noProof/>
            <w:webHidden/>
          </w:rPr>
          <w:tab/>
        </w:r>
        <w:r w:rsidR="000E60E0">
          <w:rPr>
            <w:noProof/>
            <w:webHidden/>
          </w:rPr>
          <w:fldChar w:fldCharType="begin"/>
        </w:r>
        <w:r w:rsidR="000E60E0">
          <w:rPr>
            <w:noProof/>
            <w:webHidden/>
          </w:rPr>
          <w:instrText xml:space="preserve"> PAGEREF _Toc169602227 \h </w:instrText>
        </w:r>
        <w:r w:rsidR="000E60E0">
          <w:rPr>
            <w:noProof/>
            <w:webHidden/>
          </w:rPr>
        </w:r>
        <w:r w:rsidR="000E60E0">
          <w:rPr>
            <w:noProof/>
            <w:webHidden/>
          </w:rPr>
          <w:fldChar w:fldCharType="separate"/>
        </w:r>
        <w:r w:rsidR="000E60E0">
          <w:rPr>
            <w:noProof/>
            <w:webHidden/>
          </w:rPr>
          <w:t>9</w:t>
        </w:r>
        <w:r w:rsidR="000E60E0">
          <w:rPr>
            <w:noProof/>
            <w:webHidden/>
          </w:rPr>
          <w:fldChar w:fldCharType="end"/>
        </w:r>
      </w:hyperlink>
    </w:p>
    <w:p w14:paraId="0A13B6CB"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28" w:history="1">
        <w:r w:rsidR="000E60E0" w:rsidRPr="00EA18E8">
          <w:rPr>
            <w:rStyle w:val="Hyperlink"/>
            <w:noProof/>
          </w:rPr>
          <w:t>3.1 Plāna nepieciešamība</w:t>
        </w:r>
        <w:r w:rsidR="000E60E0">
          <w:rPr>
            <w:noProof/>
            <w:webHidden/>
          </w:rPr>
          <w:tab/>
        </w:r>
        <w:r w:rsidR="000E60E0">
          <w:rPr>
            <w:noProof/>
            <w:webHidden/>
          </w:rPr>
          <w:fldChar w:fldCharType="begin"/>
        </w:r>
        <w:r w:rsidR="000E60E0">
          <w:rPr>
            <w:noProof/>
            <w:webHidden/>
          </w:rPr>
          <w:instrText xml:space="preserve"> PAGEREF _Toc169602228 \h </w:instrText>
        </w:r>
        <w:r w:rsidR="000E60E0">
          <w:rPr>
            <w:noProof/>
            <w:webHidden/>
          </w:rPr>
        </w:r>
        <w:r w:rsidR="000E60E0">
          <w:rPr>
            <w:noProof/>
            <w:webHidden/>
          </w:rPr>
          <w:fldChar w:fldCharType="separate"/>
        </w:r>
        <w:r w:rsidR="000E60E0">
          <w:rPr>
            <w:noProof/>
            <w:webHidden/>
          </w:rPr>
          <w:t>9</w:t>
        </w:r>
        <w:r w:rsidR="000E60E0">
          <w:rPr>
            <w:noProof/>
            <w:webHidden/>
          </w:rPr>
          <w:fldChar w:fldCharType="end"/>
        </w:r>
      </w:hyperlink>
    </w:p>
    <w:p w14:paraId="31584E02" w14:textId="77777777" w:rsidR="000E60E0" w:rsidRDefault="00025808">
      <w:pPr>
        <w:pStyle w:val="TOC3"/>
        <w:rPr>
          <w:rFonts w:asciiTheme="minorHAnsi" w:eastAsiaTheme="minorEastAsia" w:hAnsiTheme="minorHAnsi" w:cstheme="minorBidi"/>
          <w:noProof/>
          <w:sz w:val="22"/>
          <w:szCs w:val="22"/>
          <w:lang w:eastAsia="lv-LV"/>
        </w:rPr>
      </w:pPr>
      <w:hyperlink w:anchor="_Toc169602229" w:history="1">
        <w:r w:rsidR="000E60E0" w:rsidRPr="00EA18E8">
          <w:rPr>
            <w:rStyle w:val="Hyperlink"/>
            <w:noProof/>
          </w:rPr>
          <w:t>3.1.1.</w:t>
        </w:r>
        <w:r w:rsidR="000E60E0">
          <w:rPr>
            <w:rFonts w:asciiTheme="minorHAnsi" w:eastAsiaTheme="minorEastAsia" w:hAnsiTheme="minorHAnsi" w:cstheme="minorBidi"/>
            <w:noProof/>
            <w:sz w:val="22"/>
            <w:szCs w:val="22"/>
            <w:lang w:eastAsia="lv-LV"/>
          </w:rPr>
          <w:tab/>
        </w:r>
        <w:r w:rsidR="000E60E0" w:rsidRPr="00EA18E8">
          <w:rPr>
            <w:rStyle w:val="Hyperlink"/>
            <w:noProof/>
          </w:rPr>
          <w:t>Eiropas savienības politikas dokumenti, kas nosaka Plāna sasniedzamos mērķus</w:t>
        </w:r>
        <w:r w:rsidR="000E60E0">
          <w:rPr>
            <w:noProof/>
            <w:webHidden/>
          </w:rPr>
          <w:tab/>
        </w:r>
        <w:r w:rsidR="000E60E0">
          <w:rPr>
            <w:noProof/>
            <w:webHidden/>
          </w:rPr>
          <w:fldChar w:fldCharType="begin"/>
        </w:r>
        <w:r w:rsidR="000E60E0">
          <w:rPr>
            <w:noProof/>
            <w:webHidden/>
          </w:rPr>
          <w:instrText xml:space="preserve"> PAGEREF _Toc169602229 \h </w:instrText>
        </w:r>
        <w:r w:rsidR="000E60E0">
          <w:rPr>
            <w:noProof/>
            <w:webHidden/>
          </w:rPr>
        </w:r>
        <w:r w:rsidR="000E60E0">
          <w:rPr>
            <w:noProof/>
            <w:webHidden/>
          </w:rPr>
          <w:fldChar w:fldCharType="separate"/>
        </w:r>
        <w:r w:rsidR="000E60E0">
          <w:rPr>
            <w:noProof/>
            <w:webHidden/>
          </w:rPr>
          <w:t>9</w:t>
        </w:r>
        <w:r w:rsidR="000E60E0">
          <w:rPr>
            <w:noProof/>
            <w:webHidden/>
          </w:rPr>
          <w:fldChar w:fldCharType="end"/>
        </w:r>
      </w:hyperlink>
    </w:p>
    <w:p w14:paraId="23B56869" w14:textId="77777777" w:rsidR="000E60E0" w:rsidRDefault="00025808">
      <w:pPr>
        <w:pStyle w:val="TOC3"/>
        <w:rPr>
          <w:rFonts w:asciiTheme="minorHAnsi" w:eastAsiaTheme="minorEastAsia" w:hAnsiTheme="minorHAnsi" w:cstheme="minorBidi"/>
          <w:noProof/>
          <w:sz w:val="22"/>
          <w:szCs w:val="22"/>
          <w:lang w:eastAsia="lv-LV"/>
        </w:rPr>
      </w:pPr>
      <w:hyperlink w:anchor="_Toc169602230" w:history="1">
        <w:r w:rsidR="000E60E0" w:rsidRPr="00EA18E8">
          <w:rPr>
            <w:rStyle w:val="Hyperlink"/>
            <w:noProof/>
          </w:rPr>
          <w:t>3.1.2.</w:t>
        </w:r>
        <w:r w:rsidR="000E60E0">
          <w:rPr>
            <w:rFonts w:asciiTheme="minorHAnsi" w:eastAsiaTheme="minorEastAsia" w:hAnsiTheme="minorHAnsi" w:cstheme="minorBidi"/>
            <w:noProof/>
            <w:sz w:val="22"/>
            <w:szCs w:val="22"/>
            <w:lang w:eastAsia="lv-LV"/>
          </w:rPr>
          <w:tab/>
        </w:r>
        <w:r w:rsidR="000E60E0" w:rsidRPr="00EA18E8">
          <w:rPr>
            <w:rStyle w:val="Hyperlink"/>
            <w:noProof/>
          </w:rPr>
          <w:t>Nacionālā plāna Latvijas un ES energosistēmas konteksts</w:t>
        </w:r>
        <w:r w:rsidR="000E60E0">
          <w:rPr>
            <w:noProof/>
            <w:webHidden/>
          </w:rPr>
          <w:tab/>
        </w:r>
        <w:r w:rsidR="000E60E0">
          <w:rPr>
            <w:noProof/>
            <w:webHidden/>
          </w:rPr>
          <w:fldChar w:fldCharType="begin"/>
        </w:r>
        <w:r w:rsidR="000E60E0">
          <w:rPr>
            <w:noProof/>
            <w:webHidden/>
          </w:rPr>
          <w:instrText xml:space="preserve"> PAGEREF _Toc169602230 \h </w:instrText>
        </w:r>
        <w:r w:rsidR="000E60E0">
          <w:rPr>
            <w:noProof/>
            <w:webHidden/>
          </w:rPr>
        </w:r>
        <w:r w:rsidR="000E60E0">
          <w:rPr>
            <w:noProof/>
            <w:webHidden/>
          </w:rPr>
          <w:fldChar w:fldCharType="separate"/>
        </w:r>
        <w:r w:rsidR="000E60E0">
          <w:rPr>
            <w:noProof/>
            <w:webHidden/>
          </w:rPr>
          <w:t>12</w:t>
        </w:r>
        <w:r w:rsidR="000E60E0">
          <w:rPr>
            <w:noProof/>
            <w:webHidden/>
          </w:rPr>
          <w:fldChar w:fldCharType="end"/>
        </w:r>
      </w:hyperlink>
    </w:p>
    <w:p w14:paraId="01735B24" w14:textId="77777777" w:rsidR="000E60E0" w:rsidRDefault="00025808">
      <w:pPr>
        <w:pStyle w:val="TOC3"/>
        <w:rPr>
          <w:rFonts w:asciiTheme="minorHAnsi" w:eastAsiaTheme="minorEastAsia" w:hAnsiTheme="minorHAnsi" w:cstheme="minorBidi"/>
          <w:noProof/>
          <w:sz w:val="22"/>
          <w:szCs w:val="22"/>
          <w:lang w:eastAsia="lv-LV"/>
        </w:rPr>
      </w:pPr>
      <w:hyperlink w:anchor="_Toc169602231" w:history="1">
        <w:r w:rsidR="000E60E0" w:rsidRPr="00EA18E8">
          <w:rPr>
            <w:rStyle w:val="Hyperlink"/>
            <w:noProof/>
          </w:rPr>
          <w:t>3.1.3.</w:t>
        </w:r>
        <w:r w:rsidR="000E60E0">
          <w:rPr>
            <w:rFonts w:asciiTheme="minorHAnsi" w:eastAsiaTheme="minorEastAsia" w:hAnsiTheme="minorHAnsi" w:cstheme="minorBidi"/>
            <w:noProof/>
            <w:sz w:val="22"/>
            <w:szCs w:val="22"/>
            <w:lang w:eastAsia="lv-LV"/>
          </w:rPr>
          <w:tab/>
        </w:r>
        <w:r w:rsidR="000E60E0" w:rsidRPr="00EA18E8">
          <w:rPr>
            <w:rStyle w:val="Hyperlink"/>
            <w:noProof/>
          </w:rPr>
          <w:t>Nacionālā līmeņa Latvijas rīcībpolitikas, kas attiecas uz EnS dimensijām</w:t>
        </w:r>
        <w:r w:rsidR="000E60E0">
          <w:rPr>
            <w:noProof/>
            <w:webHidden/>
          </w:rPr>
          <w:tab/>
        </w:r>
        <w:r w:rsidR="000E60E0">
          <w:rPr>
            <w:noProof/>
            <w:webHidden/>
          </w:rPr>
          <w:fldChar w:fldCharType="begin"/>
        </w:r>
        <w:r w:rsidR="000E60E0">
          <w:rPr>
            <w:noProof/>
            <w:webHidden/>
          </w:rPr>
          <w:instrText xml:space="preserve"> PAGEREF _Toc169602231 \h </w:instrText>
        </w:r>
        <w:r w:rsidR="000E60E0">
          <w:rPr>
            <w:noProof/>
            <w:webHidden/>
          </w:rPr>
        </w:r>
        <w:r w:rsidR="000E60E0">
          <w:rPr>
            <w:noProof/>
            <w:webHidden/>
          </w:rPr>
          <w:fldChar w:fldCharType="separate"/>
        </w:r>
        <w:r w:rsidR="000E60E0">
          <w:rPr>
            <w:noProof/>
            <w:webHidden/>
          </w:rPr>
          <w:t>14</w:t>
        </w:r>
        <w:r w:rsidR="000E60E0">
          <w:rPr>
            <w:noProof/>
            <w:webHidden/>
          </w:rPr>
          <w:fldChar w:fldCharType="end"/>
        </w:r>
      </w:hyperlink>
    </w:p>
    <w:p w14:paraId="417C2322"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32" w:history="1">
        <w:r w:rsidR="000E60E0" w:rsidRPr="00EA18E8">
          <w:rPr>
            <w:rStyle w:val="Hyperlink"/>
            <w:noProof/>
          </w:rPr>
          <w:t>1.5. Klimata rīcībpolitikas ceļakarte</w:t>
        </w:r>
        <w:r w:rsidR="000E60E0">
          <w:rPr>
            <w:noProof/>
            <w:webHidden/>
          </w:rPr>
          <w:tab/>
        </w:r>
        <w:r w:rsidR="000E60E0">
          <w:rPr>
            <w:noProof/>
            <w:webHidden/>
          </w:rPr>
          <w:fldChar w:fldCharType="begin"/>
        </w:r>
        <w:r w:rsidR="000E60E0">
          <w:rPr>
            <w:noProof/>
            <w:webHidden/>
          </w:rPr>
          <w:instrText xml:space="preserve"> PAGEREF _Toc169602232 \h </w:instrText>
        </w:r>
        <w:r w:rsidR="000E60E0">
          <w:rPr>
            <w:noProof/>
            <w:webHidden/>
          </w:rPr>
        </w:r>
        <w:r w:rsidR="000E60E0">
          <w:rPr>
            <w:noProof/>
            <w:webHidden/>
          </w:rPr>
          <w:fldChar w:fldCharType="separate"/>
        </w:r>
        <w:r w:rsidR="000E60E0">
          <w:rPr>
            <w:noProof/>
            <w:webHidden/>
          </w:rPr>
          <w:t>18</w:t>
        </w:r>
        <w:r w:rsidR="000E60E0">
          <w:rPr>
            <w:noProof/>
            <w:webHidden/>
          </w:rPr>
          <w:fldChar w:fldCharType="end"/>
        </w:r>
      </w:hyperlink>
    </w:p>
    <w:p w14:paraId="525CABE3" w14:textId="77777777" w:rsidR="000E60E0" w:rsidRDefault="00025808">
      <w:pPr>
        <w:pStyle w:val="TOC3"/>
        <w:rPr>
          <w:rFonts w:asciiTheme="minorHAnsi" w:eastAsiaTheme="minorEastAsia" w:hAnsiTheme="minorHAnsi" w:cstheme="minorBidi"/>
          <w:noProof/>
          <w:sz w:val="22"/>
          <w:szCs w:val="22"/>
          <w:lang w:eastAsia="lv-LV"/>
        </w:rPr>
      </w:pPr>
      <w:hyperlink w:anchor="_Toc169602233" w:history="1">
        <w:r w:rsidR="000E60E0" w:rsidRPr="00EA18E8">
          <w:rPr>
            <w:rStyle w:val="Hyperlink"/>
            <w:noProof/>
          </w:rPr>
          <w:t>3.1.4.</w:t>
        </w:r>
        <w:r w:rsidR="000E60E0">
          <w:rPr>
            <w:rFonts w:asciiTheme="minorHAnsi" w:eastAsiaTheme="minorEastAsia" w:hAnsiTheme="minorHAnsi" w:cstheme="minorBidi"/>
            <w:noProof/>
            <w:sz w:val="22"/>
            <w:szCs w:val="22"/>
            <w:lang w:eastAsia="lv-LV"/>
          </w:rPr>
          <w:tab/>
        </w:r>
        <w:r w:rsidR="000E60E0" w:rsidRPr="00EA18E8">
          <w:rPr>
            <w:rStyle w:val="Hyperlink"/>
            <w:noProof/>
          </w:rPr>
          <w:t>Pārrobežu kontekstā svarīgie jautājumi</w:t>
        </w:r>
        <w:r w:rsidR="000E60E0">
          <w:rPr>
            <w:noProof/>
            <w:webHidden/>
          </w:rPr>
          <w:tab/>
        </w:r>
        <w:r w:rsidR="000E60E0">
          <w:rPr>
            <w:noProof/>
            <w:webHidden/>
          </w:rPr>
          <w:fldChar w:fldCharType="begin"/>
        </w:r>
        <w:r w:rsidR="000E60E0">
          <w:rPr>
            <w:noProof/>
            <w:webHidden/>
          </w:rPr>
          <w:instrText xml:space="preserve"> PAGEREF _Toc169602233 \h </w:instrText>
        </w:r>
        <w:r w:rsidR="000E60E0">
          <w:rPr>
            <w:noProof/>
            <w:webHidden/>
          </w:rPr>
        </w:r>
        <w:r w:rsidR="000E60E0">
          <w:rPr>
            <w:noProof/>
            <w:webHidden/>
          </w:rPr>
          <w:fldChar w:fldCharType="separate"/>
        </w:r>
        <w:r w:rsidR="000E60E0">
          <w:rPr>
            <w:noProof/>
            <w:webHidden/>
          </w:rPr>
          <w:t>25</w:t>
        </w:r>
        <w:r w:rsidR="000E60E0">
          <w:rPr>
            <w:noProof/>
            <w:webHidden/>
          </w:rPr>
          <w:fldChar w:fldCharType="end"/>
        </w:r>
      </w:hyperlink>
    </w:p>
    <w:p w14:paraId="483B1548" w14:textId="77777777" w:rsidR="000E60E0" w:rsidRDefault="00025808">
      <w:pPr>
        <w:pStyle w:val="TOC3"/>
        <w:rPr>
          <w:rFonts w:asciiTheme="minorHAnsi" w:eastAsiaTheme="minorEastAsia" w:hAnsiTheme="minorHAnsi" w:cstheme="minorBidi"/>
          <w:noProof/>
          <w:sz w:val="22"/>
          <w:szCs w:val="22"/>
          <w:lang w:eastAsia="lv-LV"/>
        </w:rPr>
      </w:pPr>
      <w:hyperlink w:anchor="_Toc169602234" w:history="1">
        <w:r w:rsidR="000E60E0" w:rsidRPr="00EA18E8">
          <w:rPr>
            <w:rStyle w:val="Hyperlink"/>
            <w:noProof/>
          </w:rPr>
          <w:t>3.1.5.</w:t>
        </w:r>
        <w:r w:rsidR="000E60E0">
          <w:rPr>
            <w:rFonts w:asciiTheme="minorHAnsi" w:eastAsiaTheme="minorEastAsia" w:hAnsiTheme="minorHAnsi" w:cstheme="minorBidi"/>
            <w:noProof/>
            <w:sz w:val="22"/>
            <w:szCs w:val="22"/>
            <w:lang w:eastAsia="lv-LV"/>
          </w:rPr>
          <w:tab/>
        </w:r>
        <w:r w:rsidR="000E60E0" w:rsidRPr="00EA18E8">
          <w:rPr>
            <w:rStyle w:val="Hyperlink"/>
            <w:noProof/>
          </w:rPr>
          <w:t>Nacionālo enerģētikas un klimata rīcībpolitiku īstenošanas administratīvā struktūra</w:t>
        </w:r>
        <w:r w:rsidR="000E60E0">
          <w:rPr>
            <w:noProof/>
            <w:webHidden/>
          </w:rPr>
          <w:tab/>
        </w:r>
        <w:r w:rsidR="000E60E0">
          <w:rPr>
            <w:noProof/>
            <w:webHidden/>
          </w:rPr>
          <w:fldChar w:fldCharType="begin"/>
        </w:r>
        <w:r w:rsidR="000E60E0">
          <w:rPr>
            <w:noProof/>
            <w:webHidden/>
          </w:rPr>
          <w:instrText xml:space="preserve"> PAGEREF _Toc169602234 \h </w:instrText>
        </w:r>
        <w:r w:rsidR="000E60E0">
          <w:rPr>
            <w:noProof/>
            <w:webHidden/>
          </w:rPr>
        </w:r>
        <w:r w:rsidR="000E60E0">
          <w:rPr>
            <w:noProof/>
            <w:webHidden/>
          </w:rPr>
          <w:fldChar w:fldCharType="separate"/>
        </w:r>
        <w:r w:rsidR="000E60E0">
          <w:rPr>
            <w:noProof/>
            <w:webHidden/>
          </w:rPr>
          <w:t>25</w:t>
        </w:r>
        <w:r w:rsidR="000E60E0">
          <w:rPr>
            <w:noProof/>
            <w:webHidden/>
          </w:rPr>
          <w:fldChar w:fldCharType="end"/>
        </w:r>
      </w:hyperlink>
    </w:p>
    <w:p w14:paraId="1DAC41A0"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35" w:history="1">
        <w:r w:rsidR="000E60E0" w:rsidRPr="00EA18E8">
          <w:rPr>
            <w:rStyle w:val="Hyperlink"/>
            <w:noProof/>
          </w:rPr>
          <w:t>3.2 Plāna mērķis, rīcībpolitikas un pasākumi</w:t>
        </w:r>
        <w:r w:rsidR="000E60E0">
          <w:rPr>
            <w:noProof/>
            <w:webHidden/>
          </w:rPr>
          <w:tab/>
        </w:r>
        <w:r w:rsidR="000E60E0">
          <w:rPr>
            <w:noProof/>
            <w:webHidden/>
          </w:rPr>
          <w:fldChar w:fldCharType="begin"/>
        </w:r>
        <w:r w:rsidR="000E60E0">
          <w:rPr>
            <w:noProof/>
            <w:webHidden/>
          </w:rPr>
          <w:instrText xml:space="preserve"> PAGEREF _Toc169602235 \h </w:instrText>
        </w:r>
        <w:r w:rsidR="000E60E0">
          <w:rPr>
            <w:noProof/>
            <w:webHidden/>
          </w:rPr>
        </w:r>
        <w:r w:rsidR="000E60E0">
          <w:rPr>
            <w:noProof/>
            <w:webHidden/>
          </w:rPr>
          <w:fldChar w:fldCharType="separate"/>
        </w:r>
        <w:r w:rsidR="000E60E0">
          <w:rPr>
            <w:noProof/>
            <w:webHidden/>
          </w:rPr>
          <w:t>26</w:t>
        </w:r>
        <w:r w:rsidR="000E60E0">
          <w:rPr>
            <w:noProof/>
            <w:webHidden/>
          </w:rPr>
          <w:fldChar w:fldCharType="end"/>
        </w:r>
      </w:hyperlink>
    </w:p>
    <w:p w14:paraId="745E6220" w14:textId="77777777" w:rsidR="000E60E0" w:rsidRDefault="00025808">
      <w:pPr>
        <w:pStyle w:val="TOC3"/>
        <w:rPr>
          <w:rFonts w:asciiTheme="minorHAnsi" w:eastAsiaTheme="minorEastAsia" w:hAnsiTheme="minorHAnsi" w:cstheme="minorBidi"/>
          <w:noProof/>
          <w:sz w:val="22"/>
          <w:szCs w:val="22"/>
          <w:lang w:eastAsia="lv-LV"/>
        </w:rPr>
      </w:pPr>
      <w:hyperlink w:anchor="_Toc169602236" w:history="1">
        <w:r w:rsidR="000E60E0" w:rsidRPr="00EA18E8">
          <w:rPr>
            <w:rStyle w:val="Hyperlink"/>
            <w:noProof/>
          </w:rPr>
          <w:t>3.2.1.</w:t>
        </w:r>
        <w:r w:rsidR="000E60E0">
          <w:rPr>
            <w:rFonts w:asciiTheme="minorHAnsi" w:eastAsiaTheme="minorEastAsia" w:hAnsiTheme="minorHAnsi" w:cstheme="minorBidi"/>
            <w:noProof/>
            <w:sz w:val="22"/>
            <w:szCs w:val="22"/>
            <w:lang w:eastAsia="lv-LV"/>
          </w:rPr>
          <w:tab/>
        </w:r>
        <w:r w:rsidR="000E60E0" w:rsidRPr="00EA18E8">
          <w:rPr>
            <w:rStyle w:val="Hyperlink"/>
            <w:noProof/>
          </w:rPr>
          <w:t>Plāna mērķa un tā sasniegšanas kopsavilkums</w:t>
        </w:r>
        <w:r w:rsidR="000E60E0">
          <w:rPr>
            <w:noProof/>
            <w:webHidden/>
          </w:rPr>
          <w:tab/>
        </w:r>
        <w:r w:rsidR="000E60E0">
          <w:rPr>
            <w:noProof/>
            <w:webHidden/>
          </w:rPr>
          <w:fldChar w:fldCharType="begin"/>
        </w:r>
        <w:r w:rsidR="000E60E0">
          <w:rPr>
            <w:noProof/>
            <w:webHidden/>
          </w:rPr>
          <w:instrText xml:space="preserve"> PAGEREF _Toc169602236 \h </w:instrText>
        </w:r>
        <w:r w:rsidR="000E60E0">
          <w:rPr>
            <w:noProof/>
            <w:webHidden/>
          </w:rPr>
        </w:r>
        <w:r w:rsidR="000E60E0">
          <w:rPr>
            <w:noProof/>
            <w:webHidden/>
          </w:rPr>
          <w:fldChar w:fldCharType="separate"/>
        </w:r>
        <w:r w:rsidR="000E60E0">
          <w:rPr>
            <w:noProof/>
            <w:webHidden/>
          </w:rPr>
          <w:t>26</w:t>
        </w:r>
        <w:r w:rsidR="000E60E0">
          <w:rPr>
            <w:noProof/>
            <w:webHidden/>
          </w:rPr>
          <w:fldChar w:fldCharType="end"/>
        </w:r>
      </w:hyperlink>
    </w:p>
    <w:p w14:paraId="63E75F02" w14:textId="77777777" w:rsidR="000E60E0" w:rsidRDefault="00025808">
      <w:pPr>
        <w:pStyle w:val="TOC3"/>
        <w:rPr>
          <w:rFonts w:asciiTheme="minorHAnsi" w:eastAsiaTheme="minorEastAsia" w:hAnsiTheme="minorHAnsi" w:cstheme="minorBidi"/>
          <w:noProof/>
          <w:sz w:val="22"/>
          <w:szCs w:val="22"/>
          <w:lang w:eastAsia="lv-LV"/>
        </w:rPr>
      </w:pPr>
      <w:hyperlink w:anchor="_Toc169602237" w:history="1">
        <w:r w:rsidR="000E60E0" w:rsidRPr="00EA18E8">
          <w:rPr>
            <w:rStyle w:val="Hyperlink"/>
            <w:noProof/>
          </w:rPr>
          <w:t>3.2.2.</w:t>
        </w:r>
        <w:r w:rsidR="000E60E0">
          <w:rPr>
            <w:rFonts w:asciiTheme="minorHAnsi" w:eastAsiaTheme="minorEastAsia" w:hAnsiTheme="minorHAnsi" w:cstheme="minorBidi"/>
            <w:noProof/>
            <w:sz w:val="22"/>
            <w:szCs w:val="22"/>
            <w:lang w:eastAsia="lv-LV"/>
          </w:rPr>
          <w:tab/>
        </w:r>
        <w:r w:rsidR="000E60E0" w:rsidRPr="00EA18E8">
          <w:rPr>
            <w:rStyle w:val="Hyperlink"/>
            <w:noProof/>
          </w:rPr>
          <w:t>Plāna bāzes scenārija apraksts un iekļautie pasākumi</w:t>
        </w:r>
        <w:r w:rsidR="000E60E0">
          <w:rPr>
            <w:noProof/>
            <w:webHidden/>
          </w:rPr>
          <w:tab/>
        </w:r>
        <w:r w:rsidR="000E60E0">
          <w:rPr>
            <w:noProof/>
            <w:webHidden/>
          </w:rPr>
          <w:fldChar w:fldCharType="begin"/>
        </w:r>
        <w:r w:rsidR="000E60E0">
          <w:rPr>
            <w:noProof/>
            <w:webHidden/>
          </w:rPr>
          <w:instrText xml:space="preserve"> PAGEREF _Toc169602237 \h </w:instrText>
        </w:r>
        <w:r w:rsidR="000E60E0">
          <w:rPr>
            <w:noProof/>
            <w:webHidden/>
          </w:rPr>
        </w:r>
        <w:r w:rsidR="000E60E0">
          <w:rPr>
            <w:noProof/>
            <w:webHidden/>
          </w:rPr>
          <w:fldChar w:fldCharType="separate"/>
        </w:r>
        <w:r w:rsidR="000E60E0">
          <w:rPr>
            <w:noProof/>
            <w:webHidden/>
          </w:rPr>
          <w:t>30</w:t>
        </w:r>
        <w:r w:rsidR="000E60E0">
          <w:rPr>
            <w:noProof/>
            <w:webHidden/>
          </w:rPr>
          <w:fldChar w:fldCharType="end"/>
        </w:r>
      </w:hyperlink>
    </w:p>
    <w:p w14:paraId="3E34B375" w14:textId="77777777" w:rsidR="000E60E0" w:rsidRDefault="00025808">
      <w:pPr>
        <w:pStyle w:val="TOC3"/>
        <w:rPr>
          <w:rFonts w:asciiTheme="minorHAnsi" w:eastAsiaTheme="minorEastAsia" w:hAnsiTheme="minorHAnsi" w:cstheme="minorBidi"/>
          <w:noProof/>
          <w:sz w:val="22"/>
          <w:szCs w:val="22"/>
          <w:lang w:eastAsia="lv-LV"/>
        </w:rPr>
      </w:pPr>
      <w:hyperlink w:anchor="_Toc169602238" w:history="1">
        <w:r w:rsidR="000E60E0" w:rsidRPr="00EA18E8">
          <w:rPr>
            <w:rStyle w:val="Hyperlink"/>
            <w:noProof/>
          </w:rPr>
          <w:t>3.2.2.1. Dekarbonizācija</w:t>
        </w:r>
        <w:r w:rsidR="000E60E0">
          <w:rPr>
            <w:noProof/>
            <w:webHidden/>
          </w:rPr>
          <w:tab/>
        </w:r>
        <w:r w:rsidR="000E60E0">
          <w:rPr>
            <w:noProof/>
            <w:webHidden/>
          </w:rPr>
          <w:fldChar w:fldCharType="begin"/>
        </w:r>
        <w:r w:rsidR="000E60E0">
          <w:rPr>
            <w:noProof/>
            <w:webHidden/>
          </w:rPr>
          <w:instrText xml:space="preserve"> PAGEREF _Toc169602238 \h </w:instrText>
        </w:r>
        <w:r w:rsidR="000E60E0">
          <w:rPr>
            <w:noProof/>
            <w:webHidden/>
          </w:rPr>
        </w:r>
        <w:r w:rsidR="000E60E0">
          <w:rPr>
            <w:noProof/>
            <w:webHidden/>
          </w:rPr>
          <w:fldChar w:fldCharType="separate"/>
        </w:r>
        <w:r w:rsidR="000E60E0">
          <w:rPr>
            <w:noProof/>
            <w:webHidden/>
          </w:rPr>
          <w:t>30</w:t>
        </w:r>
        <w:r w:rsidR="000E60E0">
          <w:rPr>
            <w:noProof/>
            <w:webHidden/>
          </w:rPr>
          <w:fldChar w:fldCharType="end"/>
        </w:r>
      </w:hyperlink>
    </w:p>
    <w:p w14:paraId="06D56048" w14:textId="77777777" w:rsidR="000E60E0" w:rsidRDefault="00025808">
      <w:pPr>
        <w:pStyle w:val="TOC3"/>
        <w:rPr>
          <w:rFonts w:asciiTheme="minorHAnsi" w:eastAsiaTheme="minorEastAsia" w:hAnsiTheme="minorHAnsi" w:cstheme="minorBidi"/>
          <w:noProof/>
          <w:sz w:val="22"/>
          <w:szCs w:val="22"/>
          <w:lang w:eastAsia="lv-LV"/>
        </w:rPr>
      </w:pPr>
      <w:hyperlink w:anchor="_Toc169602239" w:history="1">
        <w:r w:rsidR="000E60E0" w:rsidRPr="00EA18E8">
          <w:rPr>
            <w:rStyle w:val="Hyperlink"/>
            <w:noProof/>
          </w:rPr>
          <w:t>3.2.2.2. Enerģētika</w:t>
        </w:r>
        <w:r w:rsidR="000E60E0">
          <w:rPr>
            <w:noProof/>
            <w:webHidden/>
          </w:rPr>
          <w:tab/>
        </w:r>
        <w:r w:rsidR="000E60E0">
          <w:rPr>
            <w:noProof/>
            <w:webHidden/>
          </w:rPr>
          <w:fldChar w:fldCharType="begin"/>
        </w:r>
        <w:r w:rsidR="000E60E0">
          <w:rPr>
            <w:noProof/>
            <w:webHidden/>
          </w:rPr>
          <w:instrText xml:space="preserve"> PAGEREF _Toc169602239 \h </w:instrText>
        </w:r>
        <w:r w:rsidR="000E60E0">
          <w:rPr>
            <w:noProof/>
            <w:webHidden/>
          </w:rPr>
        </w:r>
        <w:r w:rsidR="000E60E0">
          <w:rPr>
            <w:noProof/>
            <w:webHidden/>
          </w:rPr>
          <w:fldChar w:fldCharType="separate"/>
        </w:r>
        <w:r w:rsidR="000E60E0">
          <w:rPr>
            <w:noProof/>
            <w:webHidden/>
          </w:rPr>
          <w:t>30</w:t>
        </w:r>
        <w:r w:rsidR="000E60E0">
          <w:rPr>
            <w:noProof/>
            <w:webHidden/>
          </w:rPr>
          <w:fldChar w:fldCharType="end"/>
        </w:r>
      </w:hyperlink>
    </w:p>
    <w:p w14:paraId="42DB564A" w14:textId="77777777" w:rsidR="000E60E0" w:rsidRDefault="00025808">
      <w:pPr>
        <w:pStyle w:val="TOC3"/>
        <w:rPr>
          <w:rFonts w:asciiTheme="minorHAnsi" w:eastAsiaTheme="minorEastAsia" w:hAnsiTheme="minorHAnsi" w:cstheme="minorBidi"/>
          <w:noProof/>
          <w:sz w:val="22"/>
          <w:szCs w:val="22"/>
          <w:lang w:eastAsia="lv-LV"/>
        </w:rPr>
      </w:pPr>
      <w:hyperlink w:anchor="_Toc169602240" w:history="1">
        <w:r w:rsidR="000E60E0" w:rsidRPr="00EA18E8">
          <w:rPr>
            <w:rStyle w:val="Hyperlink"/>
            <w:noProof/>
          </w:rPr>
          <w:t>3.2.2.3. Transports</w:t>
        </w:r>
        <w:r w:rsidR="000E60E0">
          <w:rPr>
            <w:noProof/>
            <w:webHidden/>
          </w:rPr>
          <w:tab/>
        </w:r>
        <w:r w:rsidR="000E60E0">
          <w:rPr>
            <w:noProof/>
            <w:webHidden/>
          </w:rPr>
          <w:fldChar w:fldCharType="begin"/>
        </w:r>
        <w:r w:rsidR="000E60E0">
          <w:rPr>
            <w:noProof/>
            <w:webHidden/>
          </w:rPr>
          <w:instrText xml:space="preserve"> PAGEREF _Toc169602240 \h </w:instrText>
        </w:r>
        <w:r w:rsidR="000E60E0">
          <w:rPr>
            <w:noProof/>
            <w:webHidden/>
          </w:rPr>
        </w:r>
        <w:r w:rsidR="000E60E0">
          <w:rPr>
            <w:noProof/>
            <w:webHidden/>
          </w:rPr>
          <w:fldChar w:fldCharType="separate"/>
        </w:r>
        <w:r w:rsidR="000E60E0">
          <w:rPr>
            <w:noProof/>
            <w:webHidden/>
          </w:rPr>
          <w:t>32</w:t>
        </w:r>
        <w:r w:rsidR="000E60E0">
          <w:rPr>
            <w:noProof/>
            <w:webHidden/>
          </w:rPr>
          <w:fldChar w:fldCharType="end"/>
        </w:r>
      </w:hyperlink>
    </w:p>
    <w:p w14:paraId="738A2E32" w14:textId="77777777" w:rsidR="000E60E0" w:rsidRDefault="00025808">
      <w:pPr>
        <w:pStyle w:val="TOC3"/>
        <w:rPr>
          <w:rFonts w:asciiTheme="minorHAnsi" w:eastAsiaTheme="minorEastAsia" w:hAnsiTheme="minorHAnsi" w:cstheme="minorBidi"/>
          <w:noProof/>
          <w:sz w:val="22"/>
          <w:szCs w:val="22"/>
          <w:lang w:eastAsia="lv-LV"/>
        </w:rPr>
      </w:pPr>
      <w:hyperlink w:anchor="_Toc169602241" w:history="1">
        <w:r w:rsidR="000E60E0" w:rsidRPr="00EA18E8">
          <w:rPr>
            <w:rStyle w:val="Hyperlink"/>
            <w:noProof/>
          </w:rPr>
          <w:t>3.2.2.4. RPPI</w:t>
        </w:r>
        <w:r w:rsidR="000E60E0">
          <w:rPr>
            <w:noProof/>
            <w:webHidden/>
          </w:rPr>
          <w:tab/>
        </w:r>
        <w:r w:rsidR="000E60E0">
          <w:rPr>
            <w:noProof/>
            <w:webHidden/>
          </w:rPr>
          <w:fldChar w:fldCharType="begin"/>
        </w:r>
        <w:r w:rsidR="000E60E0">
          <w:rPr>
            <w:noProof/>
            <w:webHidden/>
          </w:rPr>
          <w:instrText xml:space="preserve"> PAGEREF _Toc169602241 \h </w:instrText>
        </w:r>
        <w:r w:rsidR="000E60E0">
          <w:rPr>
            <w:noProof/>
            <w:webHidden/>
          </w:rPr>
        </w:r>
        <w:r w:rsidR="000E60E0">
          <w:rPr>
            <w:noProof/>
            <w:webHidden/>
          </w:rPr>
          <w:fldChar w:fldCharType="separate"/>
        </w:r>
        <w:r w:rsidR="000E60E0">
          <w:rPr>
            <w:noProof/>
            <w:webHidden/>
          </w:rPr>
          <w:t>33</w:t>
        </w:r>
        <w:r w:rsidR="000E60E0">
          <w:rPr>
            <w:noProof/>
            <w:webHidden/>
          </w:rPr>
          <w:fldChar w:fldCharType="end"/>
        </w:r>
      </w:hyperlink>
    </w:p>
    <w:p w14:paraId="171B21C9" w14:textId="77777777" w:rsidR="000E60E0" w:rsidRDefault="00025808">
      <w:pPr>
        <w:pStyle w:val="TOC3"/>
        <w:rPr>
          <w:rFonts w:asciiTheme="minorHAnsi" w:eastAsiaTheme="minorEastAsia" w:hAnsiTheme="minorHAnsi" w:cstheme="minorBidi"/>
          <w:noProof/>
          <w:sz w:val="22"/>
          <w:szCs w:val="22"/>
          <w:lang w:eastAsia="lv-LV"/>
        </w:rPr>
      </w:pPr>
      <w:hyperlink w:anchor="_Toc169602242" w:history="1">
        <w:r w:rsidR="000E60E0" w:rsidRPr="00EA18E8">
          <w:rPr>
            <w:rStyle w:val="Hyperlink"/>
            <w:noProof/>
          </w:rPr>
          <w:t>3.2.2.5. Lauksaimniecība</w:t>
        </w:r>
        <w:r w:rsidR="000E60E0">
          <w:rPr>
            <w:noProof/>
            <w:webHidden/>
          </w:rPr>
          <w:tab/>
        </w:r>
        <w:r w:rsidR="000E60E0">
          <w:rPr>
            <w:noProof/>
            <w:webHidden/>
          </w:rPr>
          <w:fldChar w:fldCharType="begin"/>
        </w:r>
        <w:r w:rsidR="000E60E0">
          <w:rPr>
            <w:noProof/>
            <w:webHidden/>
          </w:rPr>
          <w:instrText xml:space="preserve"> PAGEREF _Toc169602242 \h </w:instrText>
        </w:r>
        <w:r w:rsidR="000E60E0">
          <w:rPr>
            <w:noProof/>
            <w:webHidden/>
          </w:rPr>
        </w:r>
        <w:r w:rsidR="000E60E0">
          <w:rPr>
            <w:noProof/>
            <w:webHidden/>
          </w:rPr>
          <w:fldChar w:fldCharType="separate"/>
        </w:r>
        <w:r w:rsidR="000E60E0">
          <w:rPr>
            <w:noProof/>
            <w:webHidden/>
          </w:rPr>
          <w:t>33</w:t>
        </w:r>
        <w:r w:rsidR="000E60E0">
          <w:rPr>
            <w:noProof/>
            <w:webHidden/>
          </w:rPr>
          <w:fldChar w:fldCharType="end"/>
        </w:r>
      </w:hyperlink>
    </w:p>
    <w:p w14:paraId="06EBEBF9" w14:textId="77777777" w:rsidR="000E60E0" w:rsidRDefault="00025808">
      <w:pPr>
        <w:pStyle w:val="TOC3"/>
        <w:rPr>
          <w:rFonts w:asciiTheme="minorHAnsi" w:eastAsiaTheme="minorEastAsia" w:hAnsiTheme="minorHAnsi" w:cstheme="minorBidi"/>
          <w:noProof/>
          <w:sz w:val="22"/>
          <w:szCs w:val="22"/>
          <w:lang w:eastAsia="lv-LV"/>
        </w:rPr>
      </w:pPr>
      <w:hyperlink w:anchor="_Toc169602243" w:history="1">
        <w:r w:rsidR="000E60E0" w:rsidRPr="00EA18E8">
          <w:rPr>
            <w:rStyle w:val="Hyperlink"/>
            <w:noProof/>
          </w:rPr>
          <w:t>3.2.2.6. Atkritumu apsaimniekošana</w:t>
        </w:r>
        <w:r w:rsidR="000E60E0">
          <w:rPr>
            <w:noProof/>
            <w:webHidden/>
          </w:rPr>
          <w:tab/>
        </w:r>
        <w:r w:rsidR="000E60E0">
          <w:rPr>
            <w:noProof/>
            <w:webHidden/>
          </w:rPr>
          <w:fldChar w:fldCharType="begin"/>
        </w:r>
        <w:r w:rsidR="000E60E0">
          <w:rPr>
            <w:noProof/>
            <w:webHidden/>
          </w:rPr>
          <w:instrText xml:space="preserve"> PAGEREF _Toc169602243 \h </w:instrText>
        </w:r>
        <w:r w:rsidR="000E60E0">
          <w:rPr>
            <w:noProof/>
            <w:webHidden/>
          </w:rPr>
        </w:r>
        <w:r w:rsidR="000E60E0">
          <w:rPr>
            <w:noProof/>
            <w:webHidden/>
          </w:rPr>
          <w:fldChar w:fldCharType="separate"/>
        </w:r>
        <w:r w:rsidR="000E60E0">
          <w:rPr>
            <w:noProof/>
            <w:webHidden/>
          </w:rPr>
          <w:t>35</w:t>
        </w:r>
        <w:r w:rsidR="000E60E0">
          <w:rPr>
            <w:noProof/>
            <w:webHidden/>
          </w:rPr>
          <w:fldChar w:fldCharType="end"/>
        </w:r>
      </w:hyperlink>
    </w:p>
    <w:p w14:paraId="23C85BAB" w14:textId="77777777" w:rsidR="000E60E0" w:rsidRDefault="00025808">
      <w:pPr>
        <w:pStyle w:val="TOC3"/>
        <w:rPr>
          <w:rFonts w:asciiTheme="minorHAnsi" w:eastAsiaTheme="minorEastAsia" w:hAnsiTheme="minorHAnsi" w:cstheme="minorBidi"/>
          <w:noProof/>
          <w:sz w:val="22"/>
          <w:szCs w:val="22"/>
          <w:lang w:eastAsia="lv-LV"/>
        </w:rPr>
      </w:pPr>
      <w:hyperlink w:anchor="_Toc169602244" w:history="1">
        <w:r w:rsidR="000E60E0" w:rsidRPr="00EA18E8">
          <w:rPr>
            <w:rStyle w:val="Hyperlink"/>
            <w:noProof/>
          </w:rPr>
          <w:t>3.2.2.7. ZIZIMM sektors</w:t>
        </w:r>
        <w:r w:rsidR="000E60E0">
          <w:rPr>
            <w:noProof/>
            <w:webHidden/>
          </w:rPr>
          <w:tab/>
        </w:r>
        <w:r w:rsidR="000E60E0">
          <w:rPr>
            <w:noProof/>
            <w:webHidden/>
          </w:rPr>
          <w:fldChar w:fldCharType="begin"/>
        </w:r>
        <w:r w:rsidR="000E60E0">
          <w:rPr>
            <w:noProof/>
            <w:webHidden/>
          </w:rPr>
          <w:instrText xml:space="preserve"> PAGEREF _Toc169602244 \h </w:instrText>
        </w:r>
        <w:r w:rsidR="000E60E0">
          <w:rPr>
            <w:noProof/>
            <w:webHidden/>
          </w:rPr>
        </w:r>
        <w:r w:rsidR="000E60E0">
          <w:rPr>
            <w:noProof/>
            <w:webHidden/>
          </w:rPr>
          <w:fldChar w:fldCharType="separate"/>
        </w:r>
        <w:r w:rsidR="000E60E0">
          <w:rPr>
            <w:noProof/>
            <w:webHidden/>
          </w:rPr>
          <w:t>36</w:t>
        </w:r>
        <w:r w:rsidR="000E60E0">
          <w:rPr>
            <w:noProof/>
            <w:webHidden/>
          </w:rPr>
          <w:fldChar w:fldCharType="end"/>
        </w:r>
      </w:hyperlink>
    </w:p>
    <w:p w14:paraId="5871690A" w14:textId="77777777" w:rsidR="000E60E0" w:rsidRDefault="00025808">
      <w:pPr>
        <w:pStyle w:val="TOC3"/>
        <w:rPr>
          <w:rFonts w:asciiTheme="minorHAnsi" w:eastAsiaTheme="minorEastAsia" w:hAnsiTheme="minorHAnsi" w:cstheme="minorBidi"/>
          <w:noProof/>
          <w:sz w:val="22"/>
          <w:szCs w:val="22"/>
          <w:lang w:eastAsia="lv-LV"/>
        </w:rPr>
      </w:pPr>
      <w:hyperlink w:anchor="_Toc169602245" w:history="1">
        <w:r w:rsidR="000E60E0" w:rsidRPr="00EA18E8">
          <w:rPr>
            <w:rStyle w:val="Hyperlink"/>
            <w:noProof/>
          </w:rPr>
          <w:t>3.2.3.</w:t>
        </w:r>
        <w:r w:rsidR="000E60E0">
          <w:rPr>
            <w:rFonts w:asciiTheme="minorHAnsi" w:eastAsiaTheme="minorEastAsia" w:hAnsiTheme="minorHAnsi" w:cstheme="minorBidi"/>
            <w:noProof/>
            <w:sz w:val="22"/>
            <w:szCs w:val="22"/>
            <w:lang w:eastAsia="lv-LV"/>
          </w:rPr>
          <w:tab/>
        </w:r>
        <w:r w:rsidR="000E60E0" w:rsidRPr="00EA18E8">
          <w:rPr>
            <w:rStyle w:val="Hyperlink"/>
            <w:noProof/>
          </w:rPr>
          <w:t>Plāna pasākumu scenārija apraksts un iekļautie pasākumi</w:t>
        </w:r>
        <w:r w:rsidR="000E60E0">
          <w:rPr>
            <w:noProof/>
            <w:webHidden/>
          </w:rPr>
          <w:tab/>
        </w:r>
        <w:r w:rsidR="000E60E0">
          <w:rPr>
            <w:noProof/>
            <w:webHidden/>
          </w:rPr>
          <w:fldChar w:fldCharType="begin"/>
        </w:r>
        <w:r w:rsidR="000E60E0">
          <w:rPr>
            <w:noProof/>
            <w:webHidden/>
          </w:rPr>
          <w:instrText xml:space="preserve"> PAGEREF _Toc169602245 \h </w:instrText>
        </w:r>
        <w:r w:rsidR="000E60E0">
          <w:rPr>
            <w:noProof/>
            <w:webHidden/>
          </w:rPr>
        </w:r>
        <w:r w:rsidR="000E60E0">
          <w:rPr>
            <w:noProof/>
            <w:webHidden/>
          </w:rPr>
          <w:fldChar w:fldCharType="separate"/>
        </w:r>
        <w:r w:rsidR="000E60E0">
          <w:rPr>
            <w:noProof/>
            <w:webHidden/>
          </w:rPr>
          <w:t>37</w:t>
        </w:r>
        <w:r w:rsidR="000E60E0">
          <w:rPr>
            <w:noProof/>
            <w:webHidden/>
          </w:rPr>
          <w:fldChar w:fldCharType="end"/>
        </w:r>
      </w:hyperlink>
    </w:p>
    <w:p w14:paraId="11D78E23" w14:textId="77777777" w:rsidR="000E60E0" w:rsidRDefault="00025808">
      <w:pPr>
        <w:pStyle w:val="TOC3"/>
        <w:rPr>
          <w:rFonts w:asciiTheme="minorHAnsi" w:eastAsiaTheme="minorEastAsia" w:hAnsiTheme="minorHAnsi" w:cstheme="minorBidi"/>
          <w:noProof/>
          <w:sz w:val="22"/>
          <w:szCs w:val="22"/>
          <w:lang w:eastAsia="lv-LV"/>
        </w:rPr>
      </w:pPr>
      <w:hyperlink w:anchor="_Toc169602246" w:history="1">
        <w:r w:rsidR="000E60E0" w:rsidRPr="00EA18E8">
          <w:rPr>
            <w:rStyle w:val="Hyperlink"/>
            <w:noProof/>
          </w:rPr>
          <w:t>3.2.3.1. Enerģētika</w:t>
        </w:r>
        <w:r w:rsidR="000E60E0">
          <w:rPr>
            <w:noProof/>
            <w:webHidden/>
          </w:rPr>
          <w:tab/>
        </w:r>
        <w:r w:rsidR="000E60E0">
          <w:rPr>
            <w:noProof/>
            <w:webHidden/>
          </w:rPr>
          <w:fldChar w:fldCharType="begin"/>
        </w:r>
        <w:r w:rsidR="000E60E0">
          <w:rPr>
            <w:noProof/>
            <w:webHidden/>
          </w:rPr>
          <w:instrText xml:space="preserve"> PAGEREF _Toc169602246 \h </w:instrText>
        </w:r>
        <w:r w:rsidR="000E60E0">
          <w:rPr>
            <w:noProof/>
            <w:webHidden/>
          </w:rPr>
        </w:r>
        <w:r w:rsidR="000E60E0">
          <w:rPr>
            <w:noProof/>
            <w:webHidden/>
          </w:rPr>
          <w:fldChar w:fldCharType="separate"/>
        </w:r>
        <w:r w:rsidR="000E60E0">
          <w:rPr>
            <w:noProof/>
            <w:webHidden/>
          </w:rPr>
          <w:t>37</w:t>
        </w:r>
        <w:r w:rsidR="000E60E0">
          <w:rPr>
            <w:noProof/>
            <w:webHidden/>
          </w:rPr>
          <w:fldChar w:fldCharType="end"/>
        </w:r>
      </w:hyperlink>
    </w:p>
    <w:p w14:paraId="15747E9A" w14:textId="77777777" w:rsidR="000E60E0" w:rsidRDefault="00025808">
      <w:pPr>
        <w:pStyle w:val="TOC3"/>
        <w:rPr>
          <w:rFonts w:asciiTheme="minorHAnsi" w:eastAsiaTheme="minorEastAsia" w:hAnsiTheme="minorHAnsi" w:cstheme="minorBidi"/>
          <w:noProof/>
          <w:sz w:val="22"/>
          <w:szCs w:val="22"/>
          <w:lang w:eastAsia="lv-LV"/>
        </w:rPr>
      </w:pPr>
      <w:hyperlink w:anchor="_Toc169602247" w:history="1">
        <w:r w:rsidR="000E60E0" w:rsidRPr="00EA18E8">
          <w:rPr>
            <w:rStyle w:val="Hyperlink"/>
            <w:noProof/>
          </w:rPr>
          <w:t>3.2.3.2. AER</w:t>
        </w:r>
        <w:r w:rsidR="000E60E0">
          <w:rPr>
            <w:noProof/>
            <w:webHidden/>
          </w:rPr>
          <w:tab/>
        </w:r>
        <w:r w:rsidR="000E60E0">
          <w:rPr>
            <w:noProof/>
            <w:webHidden/>
          </w:rPr>
          <w:fldChar w:fldCharType="begin"/>
        </w:r>
        <w:r w:rsidR="000E60E0">
          <w:rPr>
            <w:noProof/>
            <w:webHidden/>
          </w:rPr>
          <w:instrText xml:space="preserve"> PAGEREF _Toc169602247 \h </w:instrText>
        </w:r>
        <w:r w:rsidR="000E60E0">
          <w:rPr>
            <w:noProof/>
            <w:webHidden/>
          </w:rPr>
        </w:r>
        <w:r w:rsidR="000E60E0">
          <w:rPr>
            <w:noProof/>
            <w:webHidden/>
          </w:rPr>
          <w:fldChar w:fldCharType="separate"/>
        </w:r>
        <w:r w:rsidR="000E60E0">
          <w:rPr>
            <w:noProof/>
            <w:webHidden/>
          </w:rPr>
          <w:t>38</w:t>
        </w:r>
        <w:r w:rsidR="000E60E0">
          <w:rPr>
            <w:noProof/>
            <w:webHidden/>
          </w:rPr>
          <w:fldChar w:fldCharType="end"/>
        </w:r>
      </w:hyperlink>
    </w:p>
    <w:p w14:paraId="3129A207" w14:textId="77777777" w:rsidR="000E60E0" w:rsidRDefault="00025808">
      <w:pPr>
        <w:pStyle w:val="TOC3"/>
        <w:rPr>
          <w:rFonts w:asciiTheme="minorHAnsi" w:eastAsiaTheme="minorEastAsia" w:hAnsiTheme="minorHAnsi" w:cstheme="minorBidi"/>
          <w:noProof/>
          <w:sz w:val="22"/>
          <w:szCs w:val="22"/>
          <w:lang w:eastAsia="lv-LV"/>
        </w:rPr>
      </w:pPr>
      <w:hyperlink w:anchor="_Toc169602248" w:history="1">
        <w:r w:rsidR="000E60E0" w:rsidRPr="00EA18E8">
          <w:rPr>
            <w:rStyle w:val="Hyperlink"/>
            <w:noProof/>
          </w:rPr>
          <w:t>3.2.3.3. Transports</w:t>
        </w:r>
        <w:r w:rsidR="000E60E0">
          <w:rPr>
            <w:noProof/>
            <w:webHidden/>
          </w:rPr>
          <w:tab/>
        </w:r>
        <w:r w:rsidR="000E60E0">
          <w:rPr>
            <w:noProof/>
            <w:webHidden/>
          </w:rPr>
          <w:fldChar w:fldCharType="begin"/>
        </w:r>
        <w:r w:rsidR="000E60E0">
          <w:rPr>
            <w:noProof/>
            <w:webHidden/>
          </w:rPr>
          <w:instrText xml:space="preserve"> PAGEREF _Toc169602248 \h </w:instrText>
        </w:r>
        <w:r w:rsidR="000E60E0">
          <w:rPr>
            <w:noProof/>
            <w:webHidden/>
          </w:rPr>
        </w:r>
        <w:r w:rsidR="000E60E0">
          <w:rPr>
            <w:noProof/>
            <w:webHidden/>
          </w:rPr>
          <w:fldChar w:fldCharType="separate"/>
        </w:r>
        <w:r w:rsidR="000E60E0">
          <w:rPr>
            <w:noProof/>
            <w:webHidden/>
          </w:rPr>
          <w:t>45</w:t>
        </w:r>
        <w:r w:rsidR="000E60E0">
          <w:rPr>
            <w:noProof/>
            <w:webHidden/>
          </w:rPr>
          <w:fldChar w:fldCharType="end"/>
        </w:r>
      </w:hyperlink>
    </w:p>
    <w:p w14:paraId="2539B658" w14:textId="77777777" w:rsidR="000E60E0" w:rsidRDefault="00025808">
      <w:pPr>
        <w:pStyle w:val="TOC3"/>
        <w:rPr>
          <w:rFonts w:asciiTheme="minorHAnsi" w:eastAsiaTheme="minorEastAsia" w:hAnsiTheme="minorHAnsi" w:cstheme="minorBidi"/>
          <w:noProof/>
          <w:sz w:val="22"/>
          <w:szCs w:val="22"/>
          <w:lang w:eastAsia="lv-LV"/>
        </w:rPr>
      </w:pPr>
      <w:hyperlink w:anchor="_Toc169602249" w:history="1">
        <w:r w:rsidR="000E60E0" w:rsidRPr="00EA18E8">
          <w:rPr>
            <w:rStyle w:val="Hyperlink"/>
            <w:noProof/>
          </w:rPr>
          <w:t>3.2.3.4. Lauksaimniecība</w:t>
        </w:r>
        <w:r w:rsidR="000E60E0">
          <w:rPr>
            <w:noProof/>
            <w:webHidden/>
          </w:rPr>
          <w:tab/>
        </w:r>
        <w:r w:rsidR="000E60E0">
          <w:rPr>
            <w:noProof/>
            <w:webHidden/>
          </w:rPr>
          <w:fldChar w:fldCharType="begin"/>
        </w:r>
        <w:r w:rsidR="000E60E0">
          <w:rPr>
            <w:noProof/>
            <w:webHidden/>
          </w:rPr>
          <w:instrText xml:space="preserve"> PAGEREF _Toc169602249 \h </w:instrText>
        </w:r>
        <w:r w:rsidR="000E60E0">
          <w:rPr>
            <w:noProof/>
            <w:webHidden/>
          </w:rPr>
        </w:r>
        <w:r w:rsidR="000E60E0">
          <w:rPr>
            <w:noProof/>
            <w:webHidden/>
          </w:rPr>
          <w:fldChar w:fldCharType="separate"/>
        </w:r>
        <w:r w:rsidR="000E60E0">
          <w:rPr>
            <w:noProof/>
            <w:webHidden/>
          </w:rPr>
          <w:t>45</w:t>
        </w:r>
        <w:r w:rsidR="000E60E0">
          <w:rPr>
            <w:noProof/>
            <w:webHidden/>
          </w:rPr>
          <w:fldChar w:fldCharType="end"/>
        </w:r>
      </w:hyperlink>
    </w:p>
    <w:p w14:paraId="3215129B" w14:textId="77777777" w:rsidR="000E60E0" w:rsidRDefault="00025808">
      <w:pPr>
        <w:pStyle w:val="TOC3"/>
        <w:rPr>
          <w:rFonts w:asciiTheme="minorHAnsi" w:eastAsiaTheme="minorEastAsia" w:hAnsiTheme="minorHAnsi" w:cstheme="minorBidi"/>
          <w:noProof/>
          <w:sz w:val="22"/>
          <w:szCs w:val="22"/>
          <w:lang w:eastAsia="lv-LV"/>
        </w:rPr>
      </w:pPr>
      <w:hyperlink w:anchor="_Toc169602250" w:history="1">
        <w:r w:rsidR="000E60E0" w:rsidRPr="00EA18E8">
          <w:rPr>
            <w:rStyle w:val="Hyperlink"/>
            <w:noProof/>
          </w:rPr>
          <w:t>3.2.3.5. Atkritumu apsaimniekošana</w:t>
        </w:r>
        <w:r w:rsidR="000E60E0">
          <w:rPr>
            <w:noProof/>
            <w:webHidden/>
          </w:rPr>
          <w:tab/>
        </w:r>
        <w:r w:rsidR="000E60E0">
          <w:rPr>
            <w:noProof/>
            <w:webHidden/>
          </w:rPr>
          <w:fldChar w:fldCharType="begin"/>
        </w:r>
        <w:r w:rsidR="000E60E0">
          <w:rPr>
            <w:noProof/>
            <w:webHidden/>
          </w:rPr>
          <w:instrText xml:space="preserve"> PAGEREF _Toc169602250 \h </w:instrText>
        </w:r>
        <w:r w:rsidR="000E60E0">
          <w:rPr>
            <w:noProof/>
            <w:webHidden/>
          </w:rPr>
        </w:r>
        <w:r w:rsidR="000E60E0">
          <w:rPr>
            <w:noProof/>
            <w:webHidden/>
          </w:rPr>
          <w:fldChar w:fldCharType="separate"/>
        </w:r>
        <w:r w:rsidR="000E60E0">
          <w:rPr>
            <w:noProof/>
            <w:webHidden/>
          </w:rPr>
          <w:t>46</w:t>
        </w:r>
        <w:r w:rsidR="000E60E0">
          <w:rPr>
            <w:noProof/>
            <w:webHidden/>
          </w:rPr>
          <w:fldChar w:fldCharType="end"/>
        </w:r>
      </w:hyperlink>
    </w:p>
    <w:p w14:paraId="6D778678" w14:textId="77777777" w:rsidR="000E60E0" w:rsidRDefault="00025808">
      <w:pPr>
        <w:pStyle w:val="TOC3"/>
        <w:rPr>
          <w:rFonts w:asciiTheme="minorHAnsi" w:eastAsiaTheme="minorEastAsia" w:hAnsiTheme="minorHAnsi" w:cstheme="minorBidi"/>
          <w:noProof/>
          <w:sz w:val="22"/>
          <w:szCs w:val="22"/>
          <w:lang w:eastAsia="lv-LV"/>
        </w:rPr>
      </w:pPr>
      <w:hyperlink w:anchor="_Toc169602251" w:history="1">
        <w:r w:rsidR="000E60E0" w:rsidRPr="00EA18E8">
          <w:rPr>
            <w:rStyle w:val="Hyperlink"/>
            <w:noProof/>
          </w:rPr>
          <w:t>3.2.3.6. ZIZIMM sektors</w:t>
        </w:r>
        <w:r w:rsidR="000E60E0">
          <w:rPr>
            <w:noProof/>
            <w:webHidden/>
          </w:rPr>
          <w:tab/>
        </w:r>
        <w:r w:rsidR="000E60E0">
          <w:rPr>
            <w:noProof/>
            <w:webHidden/>
          </w:rPr>
          <w:fldChar w:fldCharType="begin"/>
        </w:r>
        <w:r w:rsidR="000E60E0">
          <w:rPr>
            <w:noProof/>
            <w:webHidden/>
          </w:rPr>
          <w:instrText xml:space="preserve"> PAGEREF _Toc169602251 \h </w:instrText>
        </w:r>
        <w:r w:rsidR="000E60E0">
          <w:rPr>
            <w:noProof/>
            <w:webHidden/>
          </w:rPr>
        </w:r>
        <w:r w:rsidR="000E60E0">
          <w:rPr>
            <w:noProof/>
            <w:webHidden/>
          </w:rPr>
          <w:fldChar w:fldCharType="separate"/>
        </w:r>
        <w:r w:rsidR="000E60E0">
          <w:rPr>
            <w:noProof/>
            <w:webHidden/>
          </w:rPr>
          <w:t>46</w:t>
        </w:r>
        <w:r w:rsidR="000E60E0">
          <w:rPr>
            <w:noProof/>
            <w:webHidden/>
          </w:rPr>
          <w:fldChar w:fldCharType="end"/>
        </w:r>
      </w:hyperlink>
    </w:p>
    <w:p w14:paraId="1D6E9259" w14:textId="77777777" w:rsidR="000E60E0" w:rsidRDefault="00025808">
      <w:pPr>
        <w:pStyle w:val="TOC3"/>
        <w:rPr>
          <w:rFonts w:asciiTheme="minorHAnsi" w:eastAsiaTheme="minorEastAsia" w:hAnsiTheme="minorHAnsi" w:cstheme="minorBidi"/>
          <w:noProof/>
          <w:sz w:val="22"/>
          <w:szCs w:val="22"/>
          <w:lang w:eastAsia="lv-LV"/>
        </w:rPr>
      </w:pPr>
      <w:hyperlink w:anchor="_Toc169602252" w:history="1">
        <w:r w:rsidR="000E60E0" w:rsidRPr="00EA18E8">
          <w:rPr>
            <w:rStyle w:val="Hyperlink"/>
            <w:noProof/>
          </w:rPr>
          <w:t>3.2.2.</w:t>
        </w:r>
        <w:r w:rsidR="000E60E0">
          <w:rPr>
            <w:rFonts w:asciiTheme="minorHAnsi" w:eastAsiaTheme="minorEastAsia" w:hAnsiTheme="minorHAnsi" w:cstheme="minorBidi"/>
            <w:noProof/>
            <w:sz w:val="22"/>
            <w:szCs w:val="22"/>
            <w:lang w:eastAsia="lv-LV"/>
          </w:rPr>
          <w:tab/>
        </w:r>
        <w:r w:rsidR="000E60E0" w:rsidRPr="00EA18E8">
          <w:rPr>
            <w:rStyle w:val="Hyperlink"/>
            <w:noProof/>
          </w:rPr>
          <w:t>Plānā paredzēto SEG emisiju un CO</w:t>
        </w:r>
        <w:r w:rsidR="000E60E0" w:rsidRPr="00EA18E8">
          <w:rPr>
            <w:rStyle w:val="Hyperlink"/>
            <w:noProof/>
            <w:vertAlign w:val="subscript"/>
          </w:rPr>
          <w:t>2</w:t>
        </w:r>
        <w:r w:rsidR="000E60E0" w:rsidRPr="00EA18E8">
          <w:rPr>
            <w:rStyle w:val="Hyperlink"/>
            <w:noProof/>
          </w:rPr>
          <w:t xml:space="preserve"> piesaistes mērķu bāzes scenārijā apkopojums</w:t>
        </w:r>
        <w:r w:rsidR="000E60E0">
          <w:rPr>
            <w:noProof/>
            <w:webHidden/>
          </w:rPr>
          <w:tab/>
        </w:r>
        <w:r w:rsidR="000E60E0">
          <w:rPr>
            <w:noProof/>
            <w:webHidden/>
          </w:rPr>
          <w:fldChar w:fldCharType="begin"/>
        </w:r>
        <w:r w:rsidR="000E60E0">
          <w:rPr>
            <w:noProof/>
            <w:webHidden/>
          </w:rPr>
          <w:instrText xml:space="preserve"> PAGEREF _Toc169602252 \h </w:instrText>
        </w:r>
        <w:r w:rsidR="000E60E0">
          <w:rPr>
            <w:noProof/>
            <w:webHidden/>
          </w:rPr>
        </w:r>
        <w:r w:rsidR="000E60E0">
          <w:rPr>
            <w:noProof/>
            <w:webHidden/>
          </w:rPr>
          <w:fldChar w:fldCharType="separate"/>
        </w:r>
        <w:r w:rsidR="000E60E0">
          <w:rPr>
            <w:noProof/>
            <w:webHidden/>
          </w:rPr>
          <w:t>49</w:t>
        </w:r>
        <w:r w:rsidR="000E60E0">
          <w:rPr>
            <w:noProof/>
            <w:webHidden/>
          </w:rPr>
          <w:fldChar w:fldCharType="end"/>
        </w:r>
      </w:hyperlink>
    </w:p>
    <w:p w14:paraId="35F11169" w14:textId="77777777" w:rsidR="000E60E0" w:rsidRDefault="00025808">
      <w:pPr>
        <w:pStyle w:val="TOC3"/>
        <w:rPr>
          <w:rFonts w:asciiTheme="minorHAnsi" w:eastAsiaTheme="minorEastAsia" w:hAnsiTheme="minorHAnsi" w:cstheme="minorBidi"/>
          <w:noProof/>
          <w:sz w:val="22"/>
          <w:szCs w:val="22"/>
          <w:lang w:eastAsia="lv-LV"/>
        </w:rPr>
      </w:pPr>
      <w:hyperlink w:anchor="_Toc169602253" w:history="1">
        <w:r w:rsidR="000E60E0" w:rsidRPr="00EA18E8">
          <w:rPr>
            <w:rStyle w:val="Hyperlink"/>
            <w:noProof/>
          </w:rPr>
          <w:t>3.2.2.1. Transportā sasniedzamie mērķi</w:t>
        </w:r>
        <w:r w:rsidR="000E60E0">
          <w:rPr>
            <w:noProof/>
            <w:webHidden/>
          </w:rPr>
          <w:tab/>
        </w:r>
        <w:r w:rsidR="000E60E0">
          <w:rPr>
            <w:noProof/>
            <w:webHidden/>
          </w:rPr>
          <w:fldChar w:fldCharType="begin"/>
        </w:r>
        <w:r w:rsidR="000E60E0">
          <w:rPr>
            <w:noProof/>
            <w:webHidden/>
          </w:rPr>
          <w:instrText xml:space="preserve"> PAGEREF _Toc169602253 \h </w:instrText>
        </w:r>
        <w:r w:rsidR="000E60E0">
          <w:rPr>
            <w:noProof/>
            <w:webHidden/>
          </w:rPr>
        </w:r>
        <w:r w:rsidR="000E60E0">
          <w:rPr>
            <w:noProof/>
            <w:webHidden/>
          </w:rPr>
          <w:fldChar w:fldCharType="separate"/>
        </w:r>
        <w:r w:rsidR="000E60E0">
          <w:rPr>
            <w:noProof/>
            <w:webHidden/>
          </w:rPr>
          <w:t>49</w:t>
        </w:r>
        <w:r w:rsidR="000E60E0">
          <w:rPr>
            <w:noProof/>
            <w:webHidden/>
          </w:rPr>
          <w:fldChar w:fldCharType="end"/>
        </w:r>
      </w:hyperlink>
    </w:p>
    <w:p w14:paraId="7C35C202" w14:textId="77777777" w:rsidR="000E60E0" w:rsidRDefault="00025808">
      <w:pPr>
        <w:pStyle w:val="TOC3"/>
        <w:rPr>
          <w:rFonts w:asciiTheme="minorHAnsi" w:eastAsiaTheme="minorEastAsia" w:hAnsiTheme="minorHAnsi" w:cstheme="minorBidi"/>
          <w:noProof/>
          <w:sz w:val="22"/>
          <w:szCs w:val="22"/>
          <w:lang w:eastAsia="lv-LV"/>
        </w:rPr>
      </w:pPr>
      <w:hyperlink w:anchor="_Toc169602254" w:history="1">
        <w:r w:rsidR="000E60E0" w:rsidRPr="00EA18E8">
          <w:rPr>
            <w:rStyle w:val="Hyperlink"/>
            <w:noProof/>
          </w:rPr>
          <w:t>3.2.2.2. Lauksaimniecībā sasniedzamie mērķi</w:t>
        </w:r>
        <w:r w:rsidR="000E60E0">
          <w:rPr>
            <w:noProof/>
            <w:webHidden/>
          </w:rPr>
          <w:tab/>
        </w:r>
        <w:r w:rsidR="000E60E0">
          <w:rPr>
            <w:noProof/>
            <w:webHidden/>
          </w:rPr>
          <w:fldChar w:fldCharType="begin"/>
        </w:r>
        <w:r w:rsidR="000E60E0">
          <w:rPr>
            <w:noProof/>
            <w:webHidden/>
          </w:rPr>
          <w:instrText xml:space="preserve"> PAGEREF _Toc169602254 \h </w:instrText>
        </w:r>
        <w:r w:rsidR="000E60E0">
          <w:rPr>
            <w:noProof/>
            <w:webHidden/>
          </w:rPr>
        </w:r>
        <w:r w:rsidR="000E60E0">
          <w:rPr>
            <w:noProof/>
            <w:webHidden/>
          </w:rPr>
          <w:fldChar w:fldCharType="separate"/>
        </w:r>
        <w:r w:rsidR="000E60E0">
          <w:rPr>
            <w:noProof/>
            <w:webHidden/>
          </w:rPr>
          <w:t>49</w:t>
        </w:r>
        <w:r w:rsidR="000E60E0">
          <w:rPr>
            <w:noProof/>
            <w:webHidden/>
          </w:rPr>
          <w:fldChar w:fldCharType="end"/>
        </w:r>
      </w:hyperlink>
    </w:p>
    <w:p w14:paraId="3560B0E7" w14:textId="77777777" w:rsidR="000E60E0" w:rsidRDefault="00025808">
      <w:pPr>
        <w:pStyle w:val="TOC3"/>
        <w:rPr>
          <w:rFonts w:asciiTheme="minorHAnsi" w:eastAsiaTheme="minorEastAsia" w:hAnsiTheme="minorHAnsi" w:cstheme="minorBidi"/>
          <w:noProof/>
          <w:sz w:val="22"/>
          <w:szCs w:val="22"/>
          <w:lang w:eastAsia="lv-LV"/>
        </w:rPr>
      </w:pPr>
      <w:hyperlink w:anchor="_Toc169602255" w:history="1">
        <w:r w:rsidR="000E60E0" w:rsidRPr="00EA18E8">
          <w:rPr>
            <w:rStyle w:val="Hyperlink"/>
            <w:noProof/>
          </w:rPr>
          <w:t>3.2.2.3. Elektroenerģijas un siltumenerģijas ražošanā un izmantošanā sasniedzamie mērķi</w:t>
        </w:r>
        <w:r w:rsidR="000E60E0">
          <w:rPr>
            <w:noProof/>
            <w:webHidden/>
          </w:rPr>
          <w:tab/>
        </w:r>
        <w:r w:rsidR="000E60E0">
          <w:rPr>
            <w:noProof/>
            <w:webHidden/>
          </w:rPr>
          <w:fldChar w:fldCharType="begin"/>
        </w:r>
        <w:r w:rsidR="000E60E0">
          <w:rPr>
            <w:noProof/>
            <w:webHidden/>
          </w:rPr>
          <w:instrText xml:space="preserve"> PAGEREF _Toc169602255 \h </w:instrText>
        </w:r>
        <w:r w:rsidR="000E60E0">
          <w:rPr>
            <w:noProof/>
            <w:webHidden/>
          </w:rPr>
        </w:r>
        <w:r w:rsidR="000E60E0">
          <w:rPr>
            <w:noProof/>
            <w:webHidden/>
          </w:rPr>
          <w:fldChar w:fldCharType="separate"/>
        </w:r>
        <w:r w:rsidR="000E60E0">
          <w:rPr>
            <w:noProof/>
            <w:webHidden/>
          </w:rPr>
          <w:t>49</w:t>
        </w:r>
        <w:r w:rsidR="000E60E0">
          <w:rPr>
            <w:noProof/>
            <w:webHidden/>
          </w:rPr>
          <w:fldChar w:fldCharType="end"/>
        </w:r>
      </w:hyperlink>
    </w:p>
    <w:p w14:paraId="596F503A" w14:textId="77777777" w:rsidR="000E60E0" w:rsidRDefault="00025808">
      <w:pPr>
        <w:pStyle w:val="TOC3"/>
        <w:rPr>
          <w:rFonts w:asciiTheme="minorHAnsi" w:eastAsiaTheme="minorEastAsia" w:hAnsiTheme="minorHAnsi" w:cstheme="minorBidi"/>
          <w:noProof/>
          <w:sz w:val="22"/>
          <w:szCs w:val="22"/>
          <w:lang w:eastAsia="lv-LV"/>
        </w:rPr>
      </w:pPr>
      <w:hyperlink w:anchor="_Toc169602256" w:history="1">
        <w:r w:rsidR="000E60E0" w:rsidRPr="00EA18E8">
          <w:rPr>
            <w:rStyle w:val="Hyperlink"/>
            <w:noProof/>
          </w:rPr>
          <w:t>3.2.2.4. Atkritumu un notekūdeņu apsaimniekošanā sasniedzamie mērķi</w:t>
        </w:r>
        <w:r w:rsidR="000E60E0">
          <w:rPr>
            <w:noProof/>
            <w:webHidden/>
          </w:rPr>
          <w:tab/>
        </w:r>
        <w:r w:rsidR="000E60E0">
          <w:rPr>
            <w:noProof/>
            <w:webHidden/>
          </w:rPr>
          <w:fldChar w:fldCharType="begin"/>
        </w:r>
        <w:r w:rsidR="000E60E0">
          <w:rPr>
            <w:noProof/>
            <w:webHidden/>
          </w:rPr>
          <w:instrText xml:space="preserve"> PAGEREF _Toc169602256 \h </w:instrText>
        </w:r>
        <w:r w:rsidR="000E60E0">
          <w:rPr>
            <w:noProof/>
            <w:webHidden/>
          </w:rPr>
        </w:r>
        <w:r w:rsidR="000E60E0">
          <w:rPr>
            <w:noProof/>
            <w:webHidden/>
          </w:rPr>
          <w:fldChar w:fldCharType="separate"/>
        </w:r>
        <w:r w:rsidR="000E60E0">
          <w:rPr>
            <w:noProof/>
            <w:webHidden/>
          </w:rPr>
          <w:t>50</w:t>
        </w:r>
        <w:r w:rsidR="000E60E0">
          <w:rPr>
            <w:noProof/>
            <w:webHidden/>
          </w:rPr>
          <w:fldChar w:fldCharType="end"/>
        </w:r>
      </w:hyperlink>
    </w:p>
    <w:p w14:paraId="1E65B7C2" w14:textId="77777777" w:rsidR="000E60E0" w:rsidRDefault="00025808">
      <w:pPr>
        <w:pStyle w:val="TOC3"/>
        <w:rPr>
          <w:rFonts w:asciiTheme="minorHAnsi" w:eastAsiaTheme="minorEastAsia" w:hAnsiTheme="minorHAnsi" w:cstheme="minorBidi"/>
          <w:noProof/>
          <w:sz w:val="22"/>
          <w:szCs w:val="22"/>
          <w:lang w:eastAsia="lv-LV"/>
        </w:rPr>
      </w:pPr>
      <w:hyperlink w:anchor="_Toc169602257" w:history="1">
        <w:r w:rsidR="000E60E0" w:rsidRPr="00EA18E8">
          <w:rPr>
            <w:rStyle w:val="Hyperlink"/>
            <w:noProof/>
          </w:rPr>
          <w:t>3.2.2.5. RPPI sektorā sasniedzamie mērķi</w:t>
        </w:r>
        <w:r w:rsidR="000E60E0">
          <w:rPr>
            <w:noProof/>
            <w:webHidden/>
          </w:rPr>
          <w:tab/>
        </w:r>
        <w:r w:rsidR="000E60E0">
          <w:rPr>
            <w:noProof/>
            <w:webHidden/>
          </w:rPr>
          <w:fldChar w:fldCharType="begin"/>
        </w:r>
        <w:r w:rsidR="000E60E0">
          <w:rPr>
            <w:noProof/>
            <w:webHidden/>
          </w:rPr>
          <w:instrText xml:space="preserve"> PAGEREF _Toc169602257 \h </w:instrText>
        </w:r>
        <w:r w:rsidR="000E60E0">
          <w:rPr>
            <w:noProof/>
            <w:webHidden/>
          </w:rPr>
        </w:r>
        <w:r w:rsidR="000E60E0">
          <w:rPr>
            <w:noProof/>
            <w:webHidden/>
          </w:rPr>
          <w:fldChar w:fldCharType="separate"/>
        </w:r>
        <w:r w:rsidR="000E60E0">
          <w:rPr>
            <w:noProof/>
            <w:webHidden/>
          </w:rPr>
          <w:t>50</w:t>
        </w:r>
        <w:r w:rsidR="000E60E0">
          <w:rPr>
            <w:noProof/>
            <w:webHidden/>
          </w:rPr>
          <w:fldChar w:fldCharType="end"/>
        </w:r>
      </w:hyperlink>
    </w:p>
    <w:p w14:paraId="3F475C87" w14:textId="77777777" w:rsidR="000E60E0" w:rsidRDefault="00025808">
      <w:pPr>
        <w:pStyle w:val="TOC3"/>
        <w:rPr>
          <w:rFonts w:asciiTheme="minorHAnsi" w:eastAsiaTheme="minorEastAsia" w:hAnsiTheme="minorHAnsi" w:cstheme="minorBidi"/>
          <w:noProof/>
          <w:sz w:val="22"/>
          <w:szCs w:val="22"/>
          <w:lang w:eastAsia="lv-LV"/>
        </w:rPr>
      </w:pPr>
      <w:hyperlink w:anchor="_Toc169602258" w:history="1">
        <w:r w:rsidR="000E60E0" w:rsidRPr="00EA18E8">
          <w:rPr>
            <w:rStyle w:val="Hyperlink"/>
            <w:noProof/>
          </w:rPr>
          <w:t>3.2.2.6. ZIZIMM sektorā sasniedzamie mērķi</w:t>
        </w:r>
        <w:r w:rsidR="000E60E0">
          <w:rPr>
            <w:noProof/>
            <w:webHidden/>
          </w:rPr>
          <w:tab/>
        </w:r>
        <w:r w:rsidR="000E60E0">
          <w:rPr>
            <w:noProof/>
            <w:webHidden/>
          </w:rPr>
          <w:fldChar w:fldCharType="begin"/>
        </w:r>
        <w:r w:rsidR="000E60E0">
          <w:rPr>
            <w:noProof/>
            <w:webHidden/>
          </w:rPr>
          <w:instrText xml:space="preserve"> PAGEREF _Toc169602258 \h </w:instrText>
        </w:r>
        <w:r w:rsidR="000E60E0">
          <w:rPr>
            <w:noProof/>
            <w:webHidden/>
          </w:rPr>
        </w:r>
        <w:r w:rsidR="000E60E0">
          <w:rPr>
            <w:noProof/>
            <w:webHidden/>
          </w:rPr>
          <w:fldChar w:fldCharType="separate"/>
        </w:r>
        <w:r w:rsidR="000E60E0">
          <w:rPr>
            <w:noProof/>
            <w:webHidden/>
          </w:rPr>
          <w:t>50</w:t>
        </w:r>
        <w:r w:rsidR="000E60E0">
          <w:rPr>
            <w:noProof/>
            <w:webHidden/>
          </w:rPr>
          <w:fldChar w:fldCharType="end"/>
        </w:r>
      </w:hyperlink>
    </w:p>
    <w:p w14:paraId="2FB572B9"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59" w:history="1">
        <w:r w:rsidR="000E60E0" w:rsidRPr="00EA18E8">
          <w:rPr>
            <w:rStyle w:val="Hyperlink"/>
            <w:noProof/>
          </w:rPr>
          <w:t>3.2.2.7. Energoefektivitātē sasniedzamie mērķi</w:t>
        </w:r>
        <w:r w:rsidR="000E60E0">
          <w:rPr>
            <w:noProof/>
            <w:webHidden/>
          </w:rPr>
          <w:tab/>
        </w:r>
        <w:r w:rsidR="000E60E0">
          <w:rPr>
            <w:noProof/>
            <w:webHidden/>
          </w:rPr>
          <w:fldChar w:fldCharType="begin"/>
        </w:r>
        <w:r w:rsidR="000E60E0">
          <w:rPr>
            <w:noProof/>
            <w:webHidden/>
          </w:rPr>
          <w:instrText xml:space="preserve"> PAGEREF _Toc169602259 \h </w:instrText>
        </w:r>
        <w:r w:rsidR="000E60E0">
          <w:rPr>
            <w:noProof/>
            <w:webHidden/>
          </w:rPr>
        </w:r>
        <w:r w:rsidR="000E60E0">
          <w:rPr>
            <w:noProof/>
            <w:webHidden/>
          </w:rPr>
          <w:fldChar w:fldCharType="separate"/>
        </w:r>
        <w:r w:rsidR="000E60E0">
          <w:rPr>
            <w:noProof/>
            <w:webHidden/>
          </w:rPr>
          <w:t>50</w:t>
        </w:r>
        <w:r w:rsidR="000E60E0">
          <w:rPr>
            <w:noProof/>
            <w:webHidden/>
          </w:rPr>
          <w:fldChar w:fldCharType="end"/>
        </w:r>
      </w:hyperlink>
    </w:p>
    <w:p w14:paraId="5EFEE837" w14:textId="77777777" w:rsidR="000E60E0" w:rsidRDefault="00025808">
      <w:pPr>
        <w:pStyle w:val="TOC3"/>
        <w:rPr>
          <w:rFonts w:asciiTheme="minorHAnsi" w:eastAsiaTheme="minorEastAsia" w:hAnsiTheme="minorHAnsi" w:cstheme="minorBidi"/>
          <w:noProof/>
          <w:sz w:val="22"/>
          <w:szCs w:val="22"/>
          <w:lang w:eastAsia="lv-LV"/>
        </w:rPr>
      </w:pPr>
      <w:hyperlink w:anchor="_Toc169602260" w:history="1">
        <w:r w:rsidR="000E60E0" w:rsidRPr="00EA18E8">
          <w:rPr>
            <w:rStyle w:val="Hyperlink"/>
            <w:noProof/>
          </w:rPr>
          <w:t>3.2.2.8. Publiskajā sektorā sasniedzamie mērķi</w:t>
        </w:r>
        <w:r w:rsidR="000E60E0">
          <w:rPr>
            <w:noProof/>
            <w:webHidden/>
          </w:rPr>
          <w:tab/>
        </w:r>
        <w:r w:rsidR="000E60E0">
          <w:rPr>
            <w:noProof/>
            <w:webHidden/>
          </w:rPr>
          <w:fldChar w:fldCharType="begin"/>
        </w:r>
        <w:r w:rsidR="000E60E0">
          <w:rPr>
            <w:noProof/>
            <w:webHidden/>
          </w:rPr>
          <w:instrText xml:space="preserve"> PAGEREF _Toc169602260 \h </w:instrText>
        </w:r>
        <w:r w:rsidR="000E60E0">
          <w:rPr>
            <w:noProof/>
            <w:webHidden/>
          </w:rPr>
        </w:r>
        <w:r w:rsidR="000E60E0">
          <w:rPr>
            <w:noProof/>
            <w:webHidden/>
          </w:rPr>
          <w:fldChar w:fldCharType="separate"/>
        </w:r>
        <w:r w:rsidR="000E60E0">
          <w:rPr>
            <w:noProof/>
            <w:webHidden/>
          </w:rPr>
          <w:t>50</w:t>
        </w:r>
        <w:r w:rsidR="000E60E0">
          <w:rPr>
            <w:noProof/>
            <w:webHidden/>
          </w:rPr>
          <w:fldChar w:fldCharType="end"/>
        </w:r>
      </w:hyperlink>
    </w:p>
    <w:p w14:paraId="741F6AFB" w14:textId="77777777" w:rsidR="000E60E0" w:rsidRDefault="00025808">
      <w:pPr>
        <w:pStyle w:val="TOC3"/>
        <w:rPr>
          <w:rFonts w:asciiTheme="minorHAnsi" w:eastAsiaTheme="minorEastAsia" w:hAnsiTheme="minorHAnsi" w:cstheme="minorBidi"/>
          <w:noProof/>
          <w:sz w:val="22"/>
          <w:szCs w:val="22"/>
          <w:lang w:eastAsia="lv-LV"/>
        </w:rPr>
      </w:pPr>
      <w:hyperlink w:anchor="_Toc169602261" w:history="1">
        <w:r w:rsidR="000E60E0" w:rsidRPr="00EA18E8">
          <w:rPr>
            <w:rStyle w:val="Hyperlink"/>
            <w:noProof/>
          </w:rPr>
          <w:t>3.2.2.9. Ēku energoefektivitātē sasniedzamie mērķi</w:t>
        </w:r>
        <w:r w:rsidR="000E60E0">
          <w:rPr>
            <w:noProof/>
            <w:webHidden/>
          </w:rPr>
          <w:tab/>
        </w:r>
        <w:r w:rsidR="000E60E0">
          <w:rPr>
            <w:noProof/>
            <w:webHidden/>
          </w:rPr>
          <w:fldChar w:fldCharType="begin"/>
        </w:r>
        <w:r w:rsidR="000E60E0">
          <w:rPr>
            <w:noProof/>
            <w:webHidden/>
          </w:rPr>
          <w:instrText xml:space="preserve"> PAGEREF _Toc169602261 \h </w:instrText>
        </w:r>
        <w:r w:rsidR="000E60E0">
          <w:rPr>
            <w:noProof/>
            <w:webHidden/>
          </w:rPr>
        </w:r>
        <w:r w:rsidR="000E60E0">
          <w:rPr>
            <w:noProof/>
            <w:webHidden/>
          </w:rPr>
          <w:fldChar w:fldCharType="separate"/>
        </w:r>
        <w:r w:rsidR="000E60E0">
          <w:rPr>
            <w:noProof/>
            <w:webHidden/>
          </w:rPr>
          <w:t>51</w:t>
        </w:r>
        <w:r w:rsidR="000E60E0">
          <w:rPr>
            <w:noProof/>
            <w:webHidden/>
          </w:rPr>
          <w:fldChar w:fldCharType="end"/>
        </w:r>
      </w:hyperlink>
    </w:p>
    <w:p w14:paraId="745819B0" w14:textId="77777777" w:rsidR="000E60E0" w:rsidRDefault="00025808">
      <w:pPr>
        <w:pStyle w:val="TOC3"/>
        <w:rPr>
          <w:rFonts w:asciiTheme="minorHAnsi" w:eastAsiaTheme="minorEastAsia" w:hAnsiTheme="minorHAnsi" w:cstheme="minorBidi"/>
          <w:noProof/>
          <w:sz w:val="22"/>
          <w:szCs w:val="22"/>
          <w:lang w:eastAsia="lv-LV"/>
        </w:rPr>
      </w:pPr>
      <w:hyperlink w:anchor="_Toc169602262" w:history="1">
        <w:r w:rsidR="000E60E0" w:rsidRPr="00EA18E8">
          <w:rPr>
            <w:rStyle w:val="Hyperlink"/>
            <w:noProof/>
          </w:rPr>
          <w:t>3.2.2.10. Energoietaupījumos enerģijas galapatēriņā sasniedzamie mērķi</w:t>
        </w:r>
        <w:r w:rsidR="000E60E0">
          <w:rPr>
            <w:noProof/>
            <w:webHidden/>
          </w:rPr>
          <w:tab/>
        </w:r>
        <w:r w:rsidR="000E60E0">
          <w:rPr>
            <w:noProof/>
            <w:webHidden/>
          </w:rPr>
          <w:fldChar w:fldCharType="begin"/>
        </w:r>
        <w:r w:rsidR="000E60E0">
          <w:rPr>
            <w:noProof/>
            <w:webHidden/>
          </w:rPr>
          <w:instrText xml:space="preserve"> PAGEREF _Toc169602262 \h </w:instrText>
        </w:r>
        <w:r w:rsidR="000E60E0">
          <w:rPr>
            <w:noProof/>
            <w:webHidden/>
          </w:rPr>
        </w:r>
        <w:r w:rsidR="000E60E0">
          <w:rPr>
            <w:noProof/>
            <w:webHidden/>
          </w:rPr>
          <w:fldChar w:fldCharType="separate"/>
        </w:r>
        <w:r w:rsidR="000E60E0">
          <w:rPr>
            <w:noProof/>
            <w:webHidden/>
          </w:rPr>
          <w:t>51</w:t>
        </w:r>
        <w:r w:rsidR="000E60E0">
          <w:rPr>
            <w:noProof/>
            <w:webHidden/>
          </w:rPr>
          <w:fldChar w:fldCharType="end"/>
        </w:r>
      </w:hyperlink>
    </w:p>
    <w:p w14:paraId="72DE748A" w14:textId="77777777" w:rsidR="000E60E0" w:rsidRDefault="00025808">
      <w:pPr>
        <w:pStyle w:val="TOC3"/>
        <w:rPr>
          <w:rFonts w:asciiTheme="minorHAnsi" w:eastAsiaTheme="minorEastAsia" w:hAnsiTheme="minorHAnsi" w:cstheme="minorBidi"/>
          <w:noProof/>
          <w:sz w:val="22"/>
          <w:szCs w:val="22"/>
          <w:lang w:eastAsia="lv-LV"/>
        </w:rPr>
      </w:pPr>
      <w:hyperlink w:anchor="_Toc169602263" w:history="1">
        <w:r w:rsidR="000E60E0" w:rsidRPr="00EA18E8">
          <w:rPr>
            <w:rStyle w:val="Hyperlink"/>
            <w:noProof/>
          </w:rPr>
          <w:t>3.2.2.11. Augstas efektivitātes koģenerācijas izmantošanas un efektīvas CSA un CAA potenciāls</w:t>
        </w:r>
        <w:r w:rsidR="000E60E0">
          <w:rPr>
            <w:noProof/>
            <w:webHidden/>
          </w:rPr>
          <w:tab/>
        </w:r>
        <w:r w:rsidR="000E60E0">
          <w:rPr>
            <w:noProof/>
            <w:webHidden/>
          </w:rPr>
          <w:fldChar w:fldCharType="begin"/>
        </w:r>
        <w:r w:rsidR="000E60E0">
          <w:rPr>
            <w:noProof/>
            <w:webHidden/>
          </w:rPr>
          <w:instrText xml:space="preserve"> PAGEREF _Toc169602263 \h </w:instrText>
        </w:r>
        <w:r w:rsidR="000E60E0">
          <w:rPr>
            <w:noProof/>
            <w:webHidden/>
          </w:rPr>
        </w:r>
        <w:r w:rsidR="000E60E0">
          <w:rPr>
            <w:noProof/>
            <w:webHidden/>
          </w:rPr>
          <w:fldChar w:fldCharType="separate"/>
        </w:r>
        <w:r w:rsidR="000E60E0">
          <w:rPr>
            <w:noProof/>
            <w:webHidden/>
          </w:rPr>
          <w:t>51</w:t>
        </w:r>
        <w:r w:rsidR="000E60E0">
          <w:rPr>
            <w:noProof/>
            <w:webHidden/>
          </w:rPr>
          <w:fldChar w:fldCharType="end"/>
        </w:r>
      </w:hyperlink>
    </w:p>
    <w:p w14:paraId="5B29B8DC" w14:textId="77777777" w:rsidR="000E60E0" w:rsidRDefault="00025808">
      <w:pPr>
        <w:pStyle w:val="TOC3"/>
        <w:rPr>
          <w:rFonts w:asciiTheme="minorHAnsi" w:eastAsiaTheme="minorEastAsia" w:hAnsiTheme="minorHAnsi" w:cstheme="minorBidi"/>
          <w:noProof/>
          <w:sz w:val="22"/>
          <w:szCs w:val="22"/>
          <w:lang w:eastAsia="lv-LV"/>
        </w:rPr>
      </w:pPr>
      <w:hyperlink w:anchor="_Toc169602264" w:history="1">
        <w:r w:rsidR="000E60E0" w:rsidRPr="00EA18E8">
          <w:rPr>
            <w:rStyle w:val="Hyperlink"/>
            <w:noProof/>
          </w:rPr>
          <w:t>3.2.2.12. Pielāgošanās klimata pārmaiņām sasniedzamie mērķi</w:t>
        </w:r>
        <w:r w:rsidR="000E60E0">
          <w:rPr>
            <w:noProof/>
            <w:webHidden/>
          </w:rPr>
          <w:tab/>
        </w:r>
        <w:r w:rsidR="000E60E0">
          <w:rPr>
            <w:noProof/>
            <w:webHidden/>
          </w:rPr>
          <w:fldChar w:fldCharType="begin"/>
        </w:r>
        <w:r w:rsidR="000E60E0">
          <w:rPr>
            <w:noProof/>
            <w:webHidden/>
          </w:rPr>
          <w:instrText xml:space="preserve"> PAGEREF _Toc169602264 \h </w:instrText>
        </w:r>
        <w:r w:rsidR="000E60E0">
          <w:rPr>
            <w:noProof/>
            <w:webHidden/>
          </w:rPr>
        </w:r>
        <w:r w:rsidR="000E60E0">
          <w:rPr>
            <w:noProof/>
            <w:webHidden/>
          </w:rPr>
          <w:fldChar w:fldCharType="separate"/>
        </w:r>
        <w:r w:rsidR="000E60E0">
          <w:rPr>
            <w:noProof/>
            <w:webHidden/>
          </w:rPr>
          <w:t>51</w:t>
        </w:r>
        <w:r w:rsidR="000E60E0">
          <w:rPr>
            <w:noProof/>
            <w:webHidden/>
          </w:rPr>
          <w:fldChar w:fldCharType="end"/>
        </w:r>
      </w:hyperlink>
    </w:p>
    <w:p w14:paraId="6AA5AAF5" w14:textId="77777777" w:rsidR="000E60E0" w:rsidRDefault="00025808">
      <w:pPr>
        <w:pStyle w:val="TOC3"/>
        <w:rPr>
          <w:rFonts w:asciiTheme="minorHAnsi" w:eastAsiaTheme="minorEastAsia" w:hAnsiTheme="minorHAnsi" w:cstheme="minorBidi"/>
          <w:noProof/>
          <w:sz w:val="22"/>
          <w:szCs w:val="22"/>
          <w:lang w:eastAsia="lv-LV"/>
        </w:rPr>
      </w:pPr>
      <w:hyperlink w:anchor="_Toc169602265" w:history="1">
        <w:r w:rsidR="000E60E0" w:rsidRPr="00EA18E8">
          <w:rPr>
            <w:rStyle w:val="Hyperlink"/>
            <w:noProof/>
          </w:rPr>
          <w:t>3.2.3.</w:t>
        </w:r>
        <w:r w:rsidR="000E60E0">
          <w:rPr>
            <w:rFonts w:asciiTheme="minorHAnsi" w:eastAsiaTheme="minorEastAsia" w:hAnsiTheme="minorHAnsi" w:cstheme="minorBidi"/>
            <w:noProof/>
            <w:sz w:val="22"/>
            <w:szCs w:val="22"/>
            <w:lang w:eastAsia="lv-LV"/>
          </w:rPr>
          <w:tab/>
        </w:r>
        <w:r w:rsidR="000E60E0" w:rsidRPr="00EA18E8">
          <w:rPr>
            <w:rStyle w:val="Hyperlink"/>
            <w:noProof/>
          </w:rPr>
          <w:t>Mijiedarbība ar gaisu piesārņojošo vielu emisijām</w:t>
        </w:r>
        <w:r w:rsidR="000E60E0">
          <w:rPr>
            <w:noProof/>
            <w:webHidden/>
          </w:rPr>
          <w:tab/>
        </w:r>
        <w:r w:rsidR="000E60E0">
          <w:rPr>
            <w:noProof/>
            <w:webHidden/>
          </w:rPr>
          <w:fldChar w:fldCharType="begin"/>
        </w:r>
        <w:r w:rsidR="000E60E0">
          <w:rPr>
            <w:noProof/>
            <w:webHidden/>
          </w:rPr>
          <w:instrText xml:space="preserve"> PAGEREF _Toc169602265 \h </w:instrText>
        </w:r>
        <w:r w:rsidR="000E60E0">
          <w:rPr>
            <w:noProof/>
            <w:webHidden/>
          </w:rPr>
        </w:r>
        <w:r w:rsidR="000E60E0">
          <w:rPr>
            <w:noProof/>
            <w:webHidden/>
          </w:rPr>
          <w:fldChar w:fldCharType="separate"/>
        </w:r>
        <w:r w:rsidR="000E60E0">
          <w:rPr>
            <w:noProof/>
            <w:webHidden/>
          </w:rPr>
          <w:t>52</w:t>
        </w:r>
        <w:r w:rsidR="000E60E0">
          <w:rPr>
            <w:noProof/>
            <w:webHidden/>
          </w:rPr>
          <w:fldChar w:fldCharType="end"/>
        </w:r>
      </w:hyperlink>
    </w:p>
    <w:p w14:paraId="709C6D71" w14:textId="77777777" w:rsidR="000E60E0" w:rsidRDefault="00025808">
      <w:pPr>
        <w:pStyle w:val="TOC3"/>
        <w:rPr>
          <w:rFonts w:asciiTheme="minorHAnsi" w:eastAsiaTheme="minorEastAsia" w:hAnsiTheme="minorHAnsi" w:cstheme="minorBidi"/>
          <w:noProof/>
          <w:sz w:val="22"/>
          <w:szCs w:val="22"/>
          <w:lang w:eastAsia="lv-LV"/>
        </w:rPr>
      </w:pPr>
      <w:hyperlink w:anchor="_Toc169602266" w:history="1">
        <w:r w:rsidR="000E60E0" w:rsidRPr="00EA18E8">
          <w:rPr>
            <w:rStyle w:val="Hyperlink"/>
            <w:noProof/>
          </w:rPr>
          <w:t>3.2.4.</w:t>
        </w:r>
        <w:r w:rsidR="000E60E0">
          <w:rPr>
            <w:rFonts w:asciiTheme="minorHAnsi" w:eastAsiaTheme="minorEastAsia" w:hAnsiTheme="minorHAnsi" w:cstheme="minorBidi"/>
            <w:noProof/>
            <w:sz w:val="22"/>
            <w:szCs w:val="22"/>
            <w:lang w:eastAsia="lv-LV"/>
          </w:rPr>
          <w:tab/>
        </w:r>
        <w:r w:rsidR="000E60E0" w:rsidRPr="00EA18E8">
          <w:rPr>
            <w:rStyle w:val="Hyperlink"/>
            <w:noProof/>
          </w:rPr>
          <w:t>Atjaunojamo energoresursu izmantošana</w:t>
        </w:r>
        <w:r w:rsidR="000E60E0">
          <w:rPr>
            <w:noProof/>
            <w:webHidden/>
          </w:rPr>
          <w:tab/>
        </w:r>
        <w:r w:rsidR="000E60E0">
          <w:rPr>
            <w:noProof/>
            <w:webHidden/>
          </w:rPr>
          <w:fldChar w:fldCharType="begin"/>
        </w:r>
        <w:r w:rsidR="000E60E0">
          <w:rPr>
            <w:noProof/>
            <w:webHidden/>
          </w:rPr>
          <w:instrText xml:space="preserve"> PAGEREF _Toc169602266 \h </w:instrText>
        </w:r>
        <w:r w:rsidR="000E60E0">
          <w:rPr>
            <w:noProof/>
            <w:webHidden/>
          </w:rPr>
        </w:r>
        <w:r w:rsidR="000E60E0">
          <w:rPr>
            <w:noProof/>
            <w:webHidden/>
          </w:rPr>
          <w:fldChar w:fldCharType="separate"/>
        </w:r>
        <w:r w:rsidR="000E60E0">
          <w:rPr>
            <w:noProof/>
            <w:webHidden/>
          </w:rPr>
          <w:t>52</w:t>
        </w:r>
        <w:r w:rsidR="000E60E0">
          <w:rPr>
            <w:noProof/>
            <w:webHidden/>
          </w:rPr>
          <w:fldChar w:fldCharType="end"/>
        </w:r>
      </w:hyperlink>
    </w:p>
    <w:p w14:paraId="3C1F6C3B" w14:textId="77777777" w:rsidR="000E60E0" w:rsidRDefault="00025808">
      <w:pPr>
        <w:pStyle w:val="TOC3"/>
        <w:rPr>
          <w:rFonts w:asciiTheme="minorHAnsi" w:eastAsiaTheme="minorEastAsia" w:hAnsiTheme="minorHAnsi" w:cstheme="minorBidi"/>
          <w:noProof/>
          <w:sz w:val="22"/>
          <w:szCs w:val="22"/>
          <w:lang w:eastAsia="lv-LV"/>
        </w:rPr>
      </w:pPr>
      <w:hyperlink w:anchor="_Toc169602267" w:history="1">
        <w:r w:rsidR="000E60E0" w:rsidRPr="00EA18E8">
          <w:rPr>
            <w:rStyle w:val="Hyperlink"/>
            <w:noProof/>
          </w:rPr>
          <w:t>3.2.4.1. AE īpatsvara Plāna scenārijs</w:t>
        </w:r>
        <w:r w:rsidR="000E60E0">
          <w:rPr>
            <w:noProof/>
            <w:webHidden/>
          </w:rPr>
          <w:tab/>
        </w:r>
        <w:r w:rsidR="000E60E0">
          <w:rPr>
            <w:noProof/>
            <w:webHidden/>
          </w:rPr>
          <w:fldChar w:fldCharType="begin"/>
        </w:r>
        <w:r w:rsidR="000E60E0">
          <w:rPr>
            <w:noProof/>
            <w:webHidden/>
          </w:rPr>
          <w:instrText xml:space="preserve"> PAGEREF _Toc169602267 \h </w:instrText>
        </w:r>
        <w:r w:rsidR="000E60E0">
          <w:rPr>
            <w:noProof/>
            <w:webHidden/>
          </w:rPr>
        </w:r>
        <w:r w:rsidR="000E60E0">
          <w:rPr>
            <w:noProof/>
            <w:webHidden/>
          </w:rPr>
          <w:fldChar w:fldCharType="separate"/>
        </w:r>
        <w:r w:rsidR="000E60E0">
          <w:rPr>
            <w:noProof/>
            <w:webHidden/>
          </w:rPr>
          <w:t>52</w:t>
        </w:r>
        <w:r w:rsidR="000E60E0">
          <w:rPr>
            <w:noProof/>
            <w:webHidden/>
          </w:rPr>
          <w:fldChar w:fldCharType="end"/>
        </w:r>
      </w:hyperlink>
    </w:p>
    <w:p w14:paraId="1C87E7BB" w14:textId="77777777" w:rsidR="000E60E0" w:rsidRDefault="00025808">
      <w:pPr>
        <w:pStyle w:val="TOC3"/>
        <w:rPr>
          <w:rFonts w:asciiTheme="minorHAnsi" w:eastAsiaTheme="minorEastAsia" w:hAnsiTheme="minorHAnsi" w:cstheme="minorBidi"/>
          <w:noProof/>
          <w:sz w:val="22"/>
          <w:szCs w:val="22"/>
          <w:lang w:eastAsia="lv-LV"/>
        </w:rPr>
      </w:pPr>
      <w:hyperlink w:anchor="_Toc169602268" w:history="1">
        <w:r w:rsidR="000E60E0" w:rsidRPr="00EA18E8">
          <w:rPr>
            <w:rStyle w:val="Hyperlink"/>
            <w:noProof/>
          </w:rPr>
          <w:t>3.2.4.2. Alternatīvie AE īpatsvara mērķa scenāriji</w:t>
        </w:r>
        <w:r w:rsidR="000E60E0">
          <w:rPr>
            <w:noProof/>
            <w:webHidden/>
          </w:rPr>
          <w:tab/>
        </w:r>
        <w:r w:rsidR="000E60E0">
          <w:rPr>
            <w:noProof/>
            <w:webHidden/>
          </w:rPr>
          <w:fldChar w:fldCharType="begin"/>
        </w:r>
        <w:r w:rsidR="000E60E0">
          <w:rPr>
            <w:noProof/>
            <w:webHidden/>
          </w:rPr>
          <w:instrText xml:space="preserve"> PAGEREF _Toc169602268 \h </w:instrText>
        </w:r>
        <w:r w:rsidR="000E60E0">
          <w:rPr>
            <w:noProof/>
            <w:webHidden/>
          </w:rPr>
        </w:r>
        <w:r w:rsidR="000E60E0">
          <w:rPr>
            <w:noProof/>
            <w:webHidden/>
          </w:rPr>
          <w:fldChar w:fldCharType="separate"/>
        </w:r>
        <w:r w:rsidR="000E60E0">
          <w:rPr>
            <w:noProof/>
            <w:webHidden/>
          </w:rPr>
          <w:t>53</w:t>
        </w:r>
        <w:r w:rsidR="000E60E0">
          <w:rPr>
            <w:noProof/>
            <w:webHidden/>
          </w:rPr>
          <w:fldChar w:fldCharType="end"/>
        </w:r>
      </w:hyperlink>
    </w:p>
    <w:p w14:paraId="24D1B1AC" w14:textId="77777777" w:rsidR="000E60E0" w:rsidRDefault="00025808">
      <w:pPr>
        <w:pStyle w:val="TOC3"/>
        <w:rPr>
          <w:rFonts w:asciiTheme="minorHAnsi" w:eastAsiaTheme="minorEastAsia" w:hAnsiTheme="minorHAnsi" w:cstheme="minorBidi"/>
          <w:noProof/>
          <w:sz w:val="22"/>
          <w:szCs w:val="22"/>
          <w:lang w:eastAsia="lv-LV"/>
        </w:rPr>
      </w:pPr>
      <w:hyperlink w:anchor="_Toc169602269" w:history="1">
        <w:r w:rsidR="000E60E0" w:rsidRPr="00EA18E8">
          <w:rPr>
            <w:rStyle w:val="Hyperlink"/>
            <w:noProof/>
          </w:rPr>
          <w:t>3.2.5.</w:t>
        </w:r>
        <w:r w:rsidR="000E60E0">
          <w:rPr>
            <w:rFonts w:asciiTheme="minorHAnsi" w:eastAsiaTheme="minorEastAsia" w:hAnsiTheme="minorHAnsi" w:cstheme="minorBidi"/>
            <w:noProof/>
            <w:sz w:val="22"/>
            <w:szCs w:val="22"/>
            <w:lang w:eastAsia="lv-LV"/>
          </w:rPr>
          <w:tab/>
        </w:r>
        <w:r w:rsidR="000E60E0" w:rsidRPr="00EA18E8">
          <w:rPr>
            <w:rStyle w:val="Hyperlink"/>
            <w:noProof/>
          </w:rPr>
          <w:t>Energoefektivitātes mērķa sasniegšanas prognoze</w:t>
        </w:r>
        <w:r w:rsidR="000E60E0">
          <w:rPr>
            <w:noProof/>
            <w:webHidden/>
          </w:rPr>
          <w:tab/>
        </w:r>
        <w:r w:rsidR="000E60E0">
          <w:rPr>
            <w:noProof/>
            <w:webHidden/>
          </w:rPr>
          <w:fldChar w:fldCharType="begin"/>
        </w:r>
        <w:r w:rsidR="000E60E0">
          <w:rPr>
            <w:noProof/>
            <w:webHidden/>
          </w:rPr>
          <w:instrText xml:space="preserve"> PAGEREF _Toc169602269 \h </w:instrText>
        </w:r>
        <w:r w:rsidR="000E60E0">
          <w:rPr>
            <w:noProof/>
            <w:webHidden/>
          </w:rPr>
        </w:r>
        <w:r w:rsidR="000E60E0">
          <w:rPr>
            <w:noProof/>
            <w:webHidden/>
          </w:rPr>
          <w:fldChar w:fldCharType="separate"/>
        </w:r>
        <w:r w:rsidR="000E60E0">
          <w:rPr>
            <w:noProof/>
            <w:webHidden/>
          </w:rPr>
          <w:t>54</w:t>
        </w:r>
        <w:r w:rsidR="000E60E0">
          <w:rPr>
            <w:noProof/>
            <w:webHidden/>
          </w:rPr>
          <w:fldChar w:fldCharType="end"/>
        </w:r>
      </w:hyperlink>
    </w:p>
    <w:p w14:paraId="1B99EAEE" w14:textId="77777777" w:rsidR="000E60E0" w:rsidRDefault="00025808">
      <w:pPr>
        <w:pStyle w:val="TOC3"/>
        <w:rPr>
          <w:rFonts w:asciiTheme="minorHAnsi" w:eastAsiaTheme="minorEastAsia" w:hAnsiTheme="minorHAnsi" w:cstheme="minorBidi"/>
          <w:noProof/>
          <w:sz w:val="22"/>
          <w:szCs w:val="22"/>
          <w:lang w:eastAsia="lv-LV"/>
        </w:rPr>
      </w:pPr>
      <w:hyperlink w:anchor="_Toc169602270" w:history="1">
        <w:r w:rsidR="000E60E0" w:rsidRPr="00EA18E8">
          <w:rPr>
            <w:rStyle w:val="Hyperlink"/>
            <w:noProof/>
          </w:rPr>
          <w:t>3.2.6.</w:t>
        </w:r>
        <w:r w:rsidR="000E60E0">
          <w:rPr>
            <w:rFonts w:asciiTheme="minorHAnsi" w:eastAsiaTheme="minorEastAsia" w:hAnsiTheme="minorHAnsi" w:cstheme="minorBidi"/>
            <w:noProof/>
            <w:sz w:val="22"/>
            <w:szCs w:val="22"/>
            <w:lang w:eastAsia="lv-LV"/>
          </w:rPr>
          <w:tab/>
        </w:r>
        <w:r w:rsidR="000E60E0" w:rsidRPr="00EA18E8">
          <w:rPr>
            <w:rStyle w:val="Hyperlink"/>
            <w:noProof/>
          </w:rPr>
          <w:t>No biomasas saražotās enerģijas izmantošanas veicināšana</w:t>
        </w:r>
        <w:r w:rsidR="000E60E0">
          <w:rPr>
            <w:noProof/>
            <w:webHidden/>
          </w:rPr>
          <w:tab/>
        </w:r>
        <w:r w:rsidR="000E60E0">
          <w:rPr>
            <w:noProof/>
            <w:webHidden/>
          </w:rPr>
          <w:fldChar w:fldCharType="begin"/>
        </w:r>
        <w:r w:rsidR="000E60E0">
          <w:rPr>
            <w:noProof/>
            <w:webHidden/>
          </w:rPr>
          <w:instrText xml:space="preserve"> PAGEREF _Toc169602270 \h </w:instrText>
        </w:r>
        <w:r w:rsidR="000E60E0">
          <w:rPr>
            <w:noProof/>
            <w:webHidden/>
          </w:rPr>
        </w:r>
        <w:r w:rsidR="000E60E0">
          <w:rPr>
            <w:noProof/>
            <w:webHidden/>
          </w:rPr>
          <w:fldChar w:fldCharType="separate"/>
        </w:r>
        <w:r w:rsidR="000E60E0">
          <w:rPr>
            <w:noProof/>
            <w:webHidden/>
          </w:rPr>
          <w:t>55</w:t>
        </w:r>
        <w:r w:rsidR="000E60E0">
          <w:rPr>
            <w:noProof/>
            <w:webHidden/>
          </w:rPr>
          <w:fldChar w:fldCharType="end"/>
        </w:r>
      </w:hyperlink>
    </w:p>
    <w:p w14:paraId="7AD65EF6" w14:textId="77777777" w:rsidR="000E60E0" w:rsidRDefault="00025808">
      <w:pPr>
        <w:pStyle w:val="TOC3"/>
        <w:rPr>
          <w:rFonts w:asciiTheme="minorHAnsi" w:eastAsiaTheme="minorEastAsia" w:hAnsiTheme="minorHAnsi" w:cstheme="minorBidi"/>
          <w:noProof/>
          <w:sz w:val="22"/>
          <w:szCs w:val="22"/>
          <w:lang w:eastAsia="lv-LV"/>
        </w:rPr>
      </w:pPr>
      <w:hyperlink w:anchor="_Toc169602271" w:history="1">
        <w:r w:rsidR="000E60E0" w:rsidRPr="00EA18E8">
          <w:rPr>
            <w:rStyle w:val="Hyperlink"/>
            <w:noProof/>
          </w:rPr>
          <w:t>3.2.7.</w:t>
        </w:r>
        <w:r w:rsidR="000E60E0">
          <w:rPr>
            <w:rFonts w:asciiTheme="minorHAnsi" w:eastAsiaTheme="minorEastAsia" w:hAnsiTheme="minorHAnsi" w:cstheme="minorBidi"/>
            <w:noProof/>
            <w:sz w:val="22"/>
            <w:szCs w:val="22"/>
            <w:lang w:eastAsia="lv-LV"/>
          </w:rPr>
          <w:tab/>
        </w:r>
        <w:r w:rsidR="000E60E0" w:rsidRPr="00EA18E8">
          <w:rPr>
            <w:rStyle w:val="Hyperlink"/>
            <w:noProof/>
          </w:rPr>
          <w:t>Vēja enerģijas ražošanas un izmantošanas veicināšana</w:t>
        </w:r>
        <w:r w:rsidR="000E60E0">
          <w:rPr>
            <w:noProof/>
            <w:webHidden/>
          </w:rPr>
          <w:tab/>
        </w:r>
        <w:r w:rsidR="000E60E0">
          <w:rPr>
            <w:noProof/>
            <w:webHidden/>
          </w:rPr>
          <w:fldChar w:fldCharType="begin"/>
        </w:r>
        <w:r w:rsidR="000E60E0">
          <w:rPr>
            <w:noProof/>
            <w:webHidden/>
          </w:rPr>
          <w:instrText xml:space="preserve"> PAGEREF _Toc169602271 \h </w:instrText>
        </w:r>
        <w:r w:rsidR="000E60E0">
          <w:rPr>
            <w:noProof/>
            <w:webHidden/>
          </w:rPr>
        </w:r>
        <w:r w:rsidR="000E60E0">
          <w:rPr>
            <w:noProof/>
            <w:webHidden/>
          </w:rPr>
          <w:fldChar w:fldCharType="separate"/>
        </w:r>
        <w:r w:rsidR="000E60E0">
          <w:rPr>
            <w:noProof/>
            <w:webHidden/>
          </w:rPr>
          <w:t>55</w:t>
        </w:r>
        <w:r w:rsidR="000E60E0">
          <w:rPr>
            <w:noProof/>
            <w:webHidden/>
          </w:rPr>
          <w:fldChar w:fldCharType="end"/>
        </w:r>
      </w:hyperlink>
    </w:p>
    <w:p w14:paraId="0D05ED8B" w14:textId="77777777" w:rsidR="000E60E0" w:rsidRDefault="00025808">
      <w:pPr>
        <w:pStyle w:val="TOC3"/>
        <w:rPr>
          <w:rFonts w:asciiTheme="minorHAnsi" w:eastAsiaTheme="minorEastAsia" w:hAnsiTheme="minorHAnsi" w:cstheme="minorBidi"/>
          <w:noProof/>
          <w:sz w:val="22"/>
          <w:szCs w:val="22"/>
          <w:lang w:eastAsia="lv-LV"/>
        </w:rPr>
      </w:pPr>
      <w:hyperlink w:anchor="_Toc169602272" w:history="1">
        <w:r w:rsidR="000E60E0" w:rsidRPr="00EA18E8">
          <w:rPr>
            <w:rStyle w:val="Hyperlink"/>
            <w:noProof/>
          </w:rPr>
          <w:t>3.2.8.</w:t>
        </w:r>
        <w:r w:rsidR="000E60E0">
          <w:rPr>
            <w:rFonts w:asciiTheme="minorHAnsi" w:eastAsiaTheme="minorEastAsia" w:hAnsiTheme="minorHAnsi" w:cstheme="minorBidi"/>
            <w:noProof/>
            <w:sz w:val="22"/>
            <w:szCs w:val="22"/>
            <w:lang w:eastAsia="lv-LV"/>
          </w:rPr>
          <w:tab/>
        </w:r>
        <w:r w:rsidR="000E60E0" w:rsidRPr="00EA18E8">
          <w:rPr>
            <w:rStyle w:val="Hyperlink"/>
            <w:noProof/>
          </w:rPr>
          <w:t>Lauksaimniecība (bez ZIZIMM daļas)</w:t>
        </w:r>
        <w:r w:rsidR="000E60E0">
          <w:rPr>
            <w:noProof/>
            <w:webHidden/>
          </w:rPr>
          <w:tab/>
        </w:r>
        <w:r w:rsidR="000E60E0">
          <w:rPr>
            <w:noProof/>
            <w:webHidden/>
          </w:rPr>
          <w:fldChar w:fldCharType="begin"/>
        </w:r>
        <w:r w:rsidR="000E60E0">
          <w:rPr>
            <w:noProof/>
            <w:webHidden/>
          </w:rPr>
          <w:instrText xml:space="preserve"> PAGEREF _Toc169602272 \h </w:instrText>
        </w:r>
        <w:r w:rsidR="000E60E0">
          <w:rPr>
            <w:noProof/>
            <w:webHidden/>
          </w:rPr>
        </w:r>
        <w:r w:rsidR="000E60E0">
          <w:rPr>
            <w:noProof/>
            <w:webHidden/>
          </w:rPr>
          <w:fldChar w:fldCharType="separate"/>
        </w:r>
        <w:r w:rsidR="000E60E0">
          <w:rPr>
            <w:noProof/>
            <w:webHidden/>
          </w:rPr>
          <w:t>55</w:t>
        </w:r>
        <w:r w:rsidR="000E60E0">
          <w:rPr>
            <w:noProof/>
            <w:webHidden/>
          </w:rPr>
          <w:fldChar w:fldCharType="end"/>
        </w:r>
      </w:hyperlink>
    </w:p>
    <w:p w14:paraId="3776AFCF" w14:textId="77777777" w:rsidR="000E60E0" w:rsidRDefault="00025808">
      <w:pPr>
        <w:pStyle w:val="TOC3"/>
        <w:rPr>
          <w:rFonts w:asciiTheme="minorHAnsi" w:eastAsiaTheme="minorEastAsia" w:hAnsiTheme="minorHAnsi" w:cstheme="minorBidi"/>
          <w:noProof/>
          <w:sz w:val="22"/>
          <w:szCs w:val="22"/>
          <w:lang w:eastAsia="lv-LV"/>
        </w:rPr>
      </w:pPr>
      <w:hyperlink w:anchor="_Toc169602273" w:history="1">
        <w:r w:rsidR="000E60E0" w:rsidRPr="00EA18E8">
          <w:rPr>
            <w:rStyle w:val="Hyperlink"/>
            <w:noProof/>
          </w:rPr>
          <w:t>3.2.9.</w:t>
        </w:r>
        <w:r w:rsidR="000E60E0">
          <w:rPr>
            <w:rFonts w:asciiTheme="minorHAnsi" w:eastAsiaTheme="minorEastAsia" w:hAnsiTheme="minorHAnsi" w:cstheme="minorBidi"/>
            <w:noProof/>
            <w:sz w:val="22"/>
            <w:szCs w:val="22"/>
            <w:lang w:eastAsia="lv-LV"/>
          </w:rPr>
          <w:tab/>
        </w:r>
        <w:r w:rsidR="000E60E0" w:rsidRPr="00EA18E8">
          <w:rPr>
            <w:rStyle w:val="Hyperlink"/>
            <w:noProof/>
          </w:rPr>
          <w:t>ZIZIMM</w:t>
        </w:r>
        <w:r w:rsidR="000E60E0">
          <w:rPr>
            <w:noProof/>
            <w:webHidden/>
          </w:rPr>
          <w:tab/>
        </w:r>
        <w:r w:rsidR="000E60E0">
          <w:rPr>
            <w:noProof/>
            <w:webHidden/>
          </w:rPr>
          <w:fldChar w:fldCharType="begin"/>
        </w:r>
        <w:r w:rsidR="000E60E0">
          <w:rPr>
            <w:noProof/>
            <w:webHidden/>
          </w:rPr>
          <w:instrText xml:space="preserve"> PAGEREF _Toc169602273 \h </w:instrText>
        </w:r>
        <w:r w:rsidR="000E60E0">
          <w:rPr>
            <w:noProof/>
            <w:webHidden/>
          </w:rPr>
        </w:r>
        <w:r w:rsidR="000E60E0">
          <w:rPr>
            <w:noProof/>
            <w:webHidden/>
          </w:rPr>
          <w:fldChar w:fldCharType="separate"/>
        </w:r>
        <w:r w:rsidR="000E60E0">
          <w:rPr>
            <w:noProof/>
            <w:webHidden/>
          </w:rPr>
          <w:t>56</w:t>
        </w:r>
        <w:r w:rsidR="000E60E0">
          <w:rPr>
            <w:noProof/>
            <w:webHidden/>
          </w:rPr>
          <w:fldChar w:fldCharType="end"/>
        </w:r>
      </w:hyperlink>
    </w:p>
    <w:p w14:paraId="5F436885"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274" w:history="1">
        <w:r w:rsidR="000E60E0" w:rsidRPr="00EA18E8">
          <w:rPr>
            <w:rStyle w:val="Hyperlink"/>
            <w:noProof/>
          </w:rPr>
          <w:t>4. SIVN veikšanai lietoto galveno metožu un metodoloģijas apraksts</w:t>
        </w:r>
        <w:r w:rsidR="000E60E0">
          <w:rPr>
            <w:noProof/>
            <w:webHidden/>
          </w:rPr>
          <w:tab/>
        </w:r>
        <w:r w:rsidR="000E60E0">
          <w:rPr>
            <w:noProof/>
            <w:webHidden/>
          </w:rPr>
          <w:fldChar w:fldCharType="begin"/>
        </w:r>
        <w:r w:rsidR="000E60E0">
          <w:rPr>
            <w:noProof/>
            <w:webHidden/>
          </w:rPr>
          <w:instrText xml:space="preserve"> PAGEREF _Toc169602274 \h </w:instrText>
        </w:r>
        <w:r w:rsidR="000E60E0">
          <w:rPr>
            <w:noProof/>
            <w:webHidden/>
          </w:rPr>
        </w:r>
        <w:r w:rsidR="000E60E0">
          <w:rPr>
            <w:noProof/>
            <w:webHidden/>
          </w:rPr>
          <w:fldChar w:fldCharType="separate"/>
        </w:r>
        <w:r w:rsidR="000E60E0">
          <w:rPr>
            <w:noProof/>
            <w:webHidden/>
          </w:rPr>
          <w:t>58</w:t>
        </w:r>
        <w:r w:rsidR="000E60E0">
          <w:rPr>
            <w:noProof/>
            <w:webHidden/>
          </w:rPr>
          <w:fldChar w:fldCharType="end"/>
        </w:r>
      </w:hyperlink>
    </w:p>
    <w:p w14:paraId="380DABBB"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75" w:history="1">
        <w:r w:rsidR="000E60E0" w:rsidRPr="00EA18E8">
          <w:rPr>
            <w:rStyle w:val="Hyperlink"/>
            <w:noProof/>
          </w:rPr>
          <w:t>4.1 Vispārējā pieeja un metodes</w:t>
        </w:r>
        <w:r w:rsidR="000E60E0">
          <w:rPr>
            <w:noProof/>
            <w:webHidden/>
          </w:rPr>
          <w:tab/>
        </w:r>
        <w:r w:rsidR="000E60E0">
          <w:rPr>
            <w:noProof/>
            <w:webHidden/>
          </w:rPr>
          <w:fldChar w:fldCharType="begin"/>
        </w:r>
        <w:r w:rsidR="000E60E0">
          <w:rPr>
            <w:noProof/>
            <w:webHidden/>
          </w:rPr>
          <w:instrText xml:space="preserve"> PAGEREF _Toc169602275 \h </w:instrText>
        </w:r>
        <w:r w:rsidR="000E60E0">
          <w:rPr>
            <w:noProof/>
            <w:webHidden/>
          </w:rPr>
        </w:r>
        <w:r w:rsidR="000E60E0">
          <w:rPr>
            <w:noProof/>
            <w:webHidden/>
          </w:rPr>
          <w:fldChar w:fldCharType="separate"/>
        </w:r>
        <w:r w:rsidR="000E60E0">
          <w:rPr>
            <w:noProof/>
            <w:webHidden/>
          </w:rPr>
          <w:t>58</w:t>
        </w:r>
        <w:r w:rsidR="000E60E0">
          <w:rPr>
            <w:noProof/>
            <w:webHidden/>
          </w:rPr>
          <w:fldChar w:fldCharType="end"/>
        </w:r>
      </w:hyperlink>
    </w:p>
    <w:p w14:paraId="7F81F09C"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76" w:history="1">
        <w:r w:rsidR="000E60E0" w:rsidRPr="00EA18E8">
          <w:rPr>
            <w:rStyle w:val="Hyperlink"/>
            <w:noProof/>
          </w:rPr>
          <w:t>4.2 Vērtētās ietekmes un vērtēšanas metodika</w:t>
        </w:r>
        <w:r w:rsidR="000E60E0">
          <w:rPr>
            <w:noProof/>
            <w:webHidden/>
          </w:rPr>
          <w:tab/>
        </w:r>
        <w:r w:rsidR="000E60E0">
          <w:rPr>
            <w:noProof/>
            <w:webHidden/>
          </w:rPr>
          <w:fldChar w:fldCharType="begin"/>
        </w:r>
        <w:r w:rsidR="000E60E0">
          <w:rPr>
            <w:noProof/>
            <w:webHidden/>
          </w:rPr>
          <w:instrText xml:space="preserve"> PAGEREF _Toc169602276 \h </w:instrText>
        </w:r>
        <w:r w:rsidR="000E60E0">
          <w:rPr>
            <w:noProof/>
            <w:webHidden/>
          </w:rPr>
        </w:r>
        <w:r w:rsidR="000E60E0">
          <w:rPr>
            <w:noProof/>
            <w:webHidden/>
          </w:rPr>
          <w:fldChar w:fldCharType="separate"/>
        </w:r>
        <w:r w:rsidR="000E60E0">
          <w:rPr>
            <w:noProof/>
            <w:webHidden/>
          </w:rPr>
          <w:t>61</w:t>
        </w:r>
        <w:r w:rsidR="000E60E0">
          <w:rPr>
            <w:noProof/>
            <w:webHidden/>
          </w:rPr>
          <w:fldChar w:fldCharType="end"/>
        </w:r>
      </w:hyperlink>
    </w:p>
    <w:p w14:paraId="36F87C0C"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277" w:history="1">
        <w:r w:rsidR="000E60E0" w:rsidRPr="00EA18E8">
          <w:rPr>
            <w:rStyle w:val="Hyperlink"/>
            <w:noProof/>
          </w:rPr>
          <w:t>5. Vides sākumstāvokļa izpēte</w:t>
        </w:r>
        <w:r w:rsidR="000E60E0">
          <w:rPr>
            <w:noProof/>
            <w:webHidden/>
          </w:rPr>
          <w:tab/>
        </w:r>
        <w:r w:rsidR="000E60E0">
          <w:rPr>
            <w:noProof/>
            <w:webHidden/>
          </w:rPr>
          <w:fldChar w:fldCharType="begin"/>
        </w:r>
        <w:r w:rsidR="000E60E0">
          <w:rPr>
            <w:noProof/>
            <w:webHidden/>
          </w:rPr>
          <w:instrText xml:space="preserve"> PAGEREF _Toc169602277 \h </w:instrText>
        </w:r>
        <w:r w:rsidR="000E60E0">
          <w:rPr>
            <w:noProof/>
            <w:webHidden/>
          </w:rPr>
        </w:r>
        <w:r w:rsidR="000E60E0">
          <w:rPr>
            <w:noProof/>
            <w:webHidden/>
          </w:rPr>
          <w:fldChar w:fldCharType="separate"/>
        </w:r>
        <w:r w:rsidR="000E60E0">
          <w:rPr>
            <w:noProof/>
            <w:webHidden/>
          </w:rPr>
          <w:t>63</w:t>
        </w:r>
        <w:r w:rsidR="000E60E0">
          <w:rPr>
            <w:noProof/>
            <w:webHidden/>
          </w:rPr>
          <w:fldChar w:fldCharType="end"/>
        </w:r>
      </w:hyperlink>
    </w:p>
    <w:p w14:paraId="75BB9712"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78" w:history="1">
        <w:r w:rsidR="000E60E0" w:rsidRPr="00EA18E8">
          <w:rPr>
            <w:rStyle w:val="Hyperlink"/>
            <w:noProof/>
          </w:rPr>
          <w:t>5.1 Bioloģiskā daudzveidība, īpaši aizsargājamās dabas teritorijas, sugas un biotopi</w:t>
        </w:r>
        <w:r w:rsidR="000E60E0">
          <w:rPr>
            <w:noProof/>
            <w:webHidden/>
          </w:rPr>
          <w:tab/>
        </w:r>
        <w:r w:rsidR="000E60E0">
          <w:rPr>
            <w:noProof/>
            <w:webHidden/>
          </w:rPr>
          <w:fldChar w:fldCharType="begin"/>
        </w:r>
        <w:r w:rsidR="000E60E0">
          <w:rPr>
            <w:noProof/>
            <w:webHidden/>
          </w:rPr>
          <w:instrText xml:space="preserve"> PAGEREF _Toc169602278 \h </w:instrText>
        </w:r>
        <w:r w:rsidR="000E60E0">
          <w:rPr>
            <w:noProof/>
            <w:webHidden/>
          </w:rPr>
        </w:r>
        <w:r w:rsidR="000E60E0">
          <w:rPr>
            <w:noProof/>
            <w:webHidden/>
          </w:rPr>
          <w:fldChar w:fldCharType="separate"/>
        </w:r>
        <w:r w:rsidR="000E60E0">
          <w:rPr>
            <w:noProof/>
            <w:webHidden/>
          </w:rPr>
          <w:t>63</w:t>
        </w:r>
        <w:r w:rsidR="000E60E0">
          <w:rPr>
            <w:noProof/>
            <w:webHidden/>
          </w:rPr>
          <w:fldChar w:fldCharType="end"/>
        </w:r>
      </w:hyperlink>
    </w:p>
    <w:p w14:paraId="389F8F04"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79" w:history="1">
        <w:r w:rsidR="000E60E0" w:rsidRPr="00EA18E8">
          <w:rPr>
            <w:rStyle w:val="Hyperlink"/>
            <w:noProof/>
          </w:rPr>
          <w:t>5.2 Meža resursi</w:t>
        </w:r>
        <w:r w:rsidR="000E60E0">
          <w:rPr>
            <w:noProof/>
            <w:webHidden/>
          </w:rPr>
          <w:tab/>
        </w:r>
        <w:r w:rsidR="000E60E0">
          <w:rPr>
            <w:noProof/>
            <w:webHidden/>
          </w:rPr>
          <w:fldChar w:fldCharType="begin"/>
        </w:r>
        <w:r w:rsidR="000E60E0">
          <w:rPr>
            <w:noProof/>
            <w:webHidden/>
          </w:rPr>
          <w:instrText xml:space="preserve"> PAGEREF _Toc169602279 \h </w:instrText>
        </w:r>
        <w:r w:rsidR="000E60E0">
          <w:rPr>
            <w:noProof/>
            <w:webHidden/>
          </w:rPr>
        </w:r>
        <w:r w:rsidR="000E60E0">
          <w:rPr>
            <w:noProof/>
            <w:webHidden/>
          </w:rPr>
          <w:fldChar w:fldCharType="separate"/>
        </w:r>
        <w:r w:rsidR="000E60E0">
          <w:rPr>
            <w:noProof/>
            <w:webHidden/>
          </w:rPr>
          <w:t>66</w:t>
        </w:r>
        <w:r w:rsidR="000E60E0">
          <w:rPr>
            <w:noProof/>
            <w:webHidden/>
          </w:rPr>
          <w:fldChar w:fldCharType="end"/>
        </w:r>
      </w:hyperlink>
    </w:p>
    <w:p w14:paraId="5C3E617F"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0" w:history="1">
        <w:r w:rsidR="000E60E0" w:rsidRPr="00EA18E8">
          <w:rPr>
            <w:rStyle w:val="Hyperlink"/>
            <w:noProof/>
          </w:rPr>
          <w:t>5.3 Ūdens resursi</w:t>
        </w:r>
        <w:r w:rsidR="000E60E0">
          <w:rPr>
            <w:noProof/>
            <w:webHidden/>
          </w:rPr>
          <w:tab/>
        </w:r>
        <w:r w:rsidR="000E60E0">
          <w:rPr>
            <w:noProof/>
            <w:webHidden/>
          </w:rPr>
          <w:fldChar w:fldCharType="begin"/>
        </w:r>
        <w:r w:rsidR="000E60E0">
          <w:rPr>
            <w:noProof/>
            <w:webHidden/>
          </w:rPr>
          <w:instrText xml:space="preserve"> PAGEREF _Toc169602280 \h </w:instrText>
        </w:r>
        <w:r w:rsidR="000E60E0">
          <w:rPr>
            <w:noProof/>
            <w:webHidden/>
          </w:rPr>
        </w:r>
        <w:r w:rsidR="000E60E0">
          <w:rPr>
            <w:noProof/>
            <w:webHidden/>
          </w:rPr>
          <w:fldChar w:fldCharType="separate"/>
        </w:r>
        <w:r w:rsidR="000E60E0">
          <w:rPr>
            <w:noProof/>
            <w:webHidden/>
          </w:rPr>
          <w:t>69</w:t>
        </w:r>
        <w:r w:rsidR="000E60E0">
          <w:rPr>
            <w:noProof/>
            <w:webHidden/>
          </w:rPr>
          <w:fldChar w:fldCharType="end"/>
        </w:r>
      </w:hyperlink>
    </w:p>
    <w:p w14:paraId="602F2531"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1" w:history="1">
        <w:r w:rsidR="000E60E0" w:rsidRPr="00EA18E8">
          <w:rPr>
            <w:rStyle w:val="Hyperlink"/>
            <w:noProof/>
          </w:rPr>
          <w:t>5.4 Augsne</w:t>
        </w:r>
        <w:r w:rsidR="000E60E0">
          <w:rPr>
            <w:noProof/>
            <w:webHidden/>
          </w:rPr>
          <w:tab/>
        </w:r>
        <w:r w:rsidR="000E60E0">
          <w:rPr>
            <w:noProof/>
            <w:webHidden/>
          </w:rPr>
          <w:fldChar w:fldCharType="begin"/>
        </w:r>
        <w:r w:rsidR="000E60E0">
          <w:rPr>
            <w:noProof/>
            <w:webHidden/>
          </w:rPr>
          <w:instrText xml:space="preserve"> PAGEREF _Toc169602281 \h </w:instrText>
        </w:r>
        <w:r w:rsidR="000E60E0">
          <w:rPr>
            <w:noProof/>
            <w:webHidden/>
          </w:rPr>
        </w:r>
        <w:r w:rsidR="000E60E0">
          <w:rPr>
            <w:noProof/>
            <w:webHidden/>
          </w:rPr>
          <w:fldChar w:fldCharType="separate"/>
        </w:r>
        <w:r w:rsidR="000E60E0">
          <w:rPr>
            <w:noProof/>
            <w:webHidden/>
          </w:rPr>
          <w:t>71</w:t>
        </w:r>
        <w:r w:rsidR="000E60E0">
          <w:rPr>
            <w:noProof/>
            <w:webHidden/>
          </w:rPr>
          <w:fldChar w:fldCharType="end"/>
        </w:r>
      </w:hyperlink>
    </w:p>
    <w:p w14:paraId="0BB2C3C3"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2" w:history="1">
        <w:r w:rsidR="000E60E0" w:rsidRPr="00EA18E8">
          <w:rPr>
            <w:rStyle w:val="Hyperlink"/>
            <w:noProof/>
          </w:rPr>
          <w:t>5.6 Atmosfēras gaisa kvalitāte</w:t>
        </w:r>
        <w:r w:rsidR="000E60E0">
          <w:rPr>
            <w:noProof/>
            <w:webHidden/>
          </w:rPr>
          <w:tab/>
        </w:r>
        <w:r w:rsidR="000E60E0">
          <w:rPr>
            <w:noProof/>
            <w:webHidden/>
          </w:rPr>
          <w:fldChar w:fldCharType="begin"/>
        </w:r>
        <w:r w:rsidR="000E60E0">
          <w:rPr>
            <w:noProof/>
            <w:webHidden/>
          </w:rPr>
          <w:instrText xml:space="preserve"> PAGEREF _Toc169602282 \h </w:instrText>
        </w:r>
        <w:r w:rsidR="000E60E0">
          <w:rPr>
            <w:noProof/>
            <w:webHidden/>
          </w:rPr>
        </w:r>
        <w:r w:rsidR="000E60E0">
          <w:rPr>
            <w:noProof/>
            <w:webHidden/>
          </w:rPr>
          <w:fldChar w:fldCharType="separate"/>
        </w:r>
        <w:r w:rsidR="000E60E0">
          <w:rPr>
            <w:noProof/>
            <w:webHidden/>
          </w:rPr>
          <w:t>72</w:t>
        </w:r>
        <w:r w:rsidR="000E60E0">
          <w:rPr>
            <w:noProof/>
            <w:webHidden/>
          </w:rPr>
          <w:fldChar w:fldCharType="end"/>
        </w:r>
      </w:hyperlink>
    </w:p>
    <w:p w14:paraId="640CC616"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3" w:history="1">
        <w:r w:rsidR="000E60E0" w:rsidRPr="00EA18E8">
          <w:rPr>
            <w:rStyle w:val="Hyperlink"/>
            <w:noProof/>
          </w:rPr>
          <w:t>5.6.1. Slāpekļa oksīdu emisijas</w:t>
        </w:r>
        <w:r w:rsidR="000E60E0">
          <w:rPr>
            <w:noProof/>
            <w:webHidden/>
          </w:rPr>
          <w:tab/>
        </w:r>
        <w:r w:rsidR="000E60E0">
          <w:rPr>
            <w:noProof/>
            <w:webHidden/>
          </w:rPr>
          <w:fldChar w:fldCharType="begin"/>
        </w:r>
        <w:r w:rsidR="000E60E0">
          <w:rPr>
            <w:noProof/>
            <w:webHidden/>
          </w:rPr>
          <w:instrText xml:space="preserve"> PAGEREF _Toc169602283 \h </w:instrText>
        </w:r>
        <w:r w:rsidR="000E60E0">
          <w:rPr>
            <w:noProof/>
            <w:webHidden/>
          </w:rPr>
        </w:r>
        <w:r w:rsidR="000E60E0">
          <w:rPr>
            <w:noProof/>
            <w:webHidden/>
          </w:rPr>
          <w:fldChar w:fldCharType="separate"/>
        </w:r>
        <w:r w:rsidR="000E60E0">
          <w:rPr>
            <w:noProof/>
            <w:webHidden/>
          </w:rPr>
          <w:t>74</w:t>
        </w:r>
        <w:r w:rsidR="000E60E0">
          <w:rPr>
            <w:noProof/>
            <w:webHidden/>
          </w:rPr>
          <w:fldChar w:fldCharType="end"/>
        </w:r>
      </w:hyperlink>
    </w:p>
    <w:p w14:paraId="59182750"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4" w:history="1">
        <w:r w:rsidR="000E60E0" w:rsidRPr="00EA18E8">
          <w:rPr>
            <w:rStyle w:val="Hyperlink"/>
            <w:noProof/>
          </w:rPr>
          <w:t>5.6.2. Sēra dioksīda emisijas</w:t>
        </w:r>
        <w:r w:rsidR="000E60E0">
          <w:rPr>
            <w:noProof/>
            <w:webHidden/>
          </w:rPr>
          <w:tab/>
        </w:r>
        <w:r w:rsidR="000E60E0">
          <w:rPr>
            <w:noProof/>
            <w:webHidden/>
          </w:rPr>
          <w:fldChar w:fldCharType="begin"/>
        </w:r>
        <w:r w:rsidR="000E60E0">
          <w:rPr>
            <w:noProof/>
            <w:webHidden/>
          </w:rPr>
          <w:instrText xml:space="preserve"> PAGEREF _Toc169602284 \h </w:instrText>
        </w:r>
        <w:r w:rsidR="000E60E0">
          <w:rPr>
            <w:noProof/>
            <w:webHidden/>
          </w:rPr>
        </w:r>
        <w:r w:rsidR="000E60E0">
          <w:rPr>
            <w:noProof/>
            <w:webHidden/>
          </w:rPr>
          <w:fldChar w:fldCharType="separate"/>
        </w:r>
        <w:r w:rsidR="000E60E0">
          <w:rPr>
            <w:noProof/>
            <w:webHidden/>
          </w:rPr>
          <w:t>75</w:t>
        </w:r>
        <w:r w:rsidR="000E60E0">
          <w:rPr>
            <w:noProof/>
            <w:webHidden/>
          </w:rPr>
          <w:fldChar w:fldCharType="end"/>
        </w:r>
      </w:hyperlink>
    </w:p>
    <w:p w14:paraId="0EA9026E"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5" w:history="1">
        <w:r w:rsidR="000E60E0" w:rsidRPr="00EA18E8">
          <w:rPr>
            <w:rStyle w:val="Hyperlink"/>
            <w:noProof/>
          </w:rPr>
          <w:t>5.6.3. Nemetāna gaistošo organisko savienojumu emisijas</w:t>
        </w:r>
        <w:r w:rsidR="000E60E0">
          <w:rPr>
            <w:noProof/>
            <w:webHidden/>
          </w:rPr>
          <w:tab/>
        </w:r>
        <w:r w:rsidR="000E60E0">
          <w:rPr>
            <w:noProof/>
            <w:webHidden/>
          </w:rPr>
          <w:fldChar w:fldCharType="begin"/>
        </w:r>
        <w:r w:rsidR="000E60E0">
          <w:rPr>
            <w:noProof/>
            <w:webHidden/>
          </w:rPr>
          <w:instrText xml:space="preserve"> PAGEREF _Toc169602285 \h </w:instrText>
        </w:r>
        <w:r w:rsidR="000E60E0">
          <w:rPr>
            <w:noProof/>
            <w:webHidden/>
          </w:rPr>
        </w:r>
        <w:r w:rsidR="000E60E0">
          <w:rPr>
            <w:noProof/>
            <w:webHidden/>
          </w:rPr>
          <w:fldChar w:fldCharType="separate"/>
        </w:r>
        <w:r w:rsidR="000E60E0">
          <w:rPr>
            <w:noProof/>
            <w:webHidden/>
          </w:rPr>
          <w:t>75</w:t>
        </w:r>
        <w:r w:rsidR="000E60E0">
          <w:rPr>
            <w:noProof/>
            <w:webHidden/>
          </w:rPr>
          <w:fldChar w:fldCharType="end"/>
        </w:r>
      </w:hyperlink>
    </w:p>
    <w:p w14:paraId="04CEEBB0"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6" w:history="1">
        <w:r w:rsidR="000E60E0" w:rsidRPr="00EA18E8">
          <w:rPr>
            <w:rStyle w:val="Hyperlink"/>
            <w:noProof/>
          </w:rPr>
          <w:t>5.6.4. Amonjaka emisijas</w:t>
        </w:r>
        <w:r w:rsidR="000E60E0">
          <w:rPr>
            <w:noProof/>
            <w:webHidden/>
          </w:rPr>
          <w:tab/>
        </w:r>
        <w:r w:rsidR="000E60E0">
          <w:rPr>
            <w:noProof/>
            <w:webHidden/>
          </w:rPr>
          <w:fldChar w:fldCharType="begin"/>
        </w:r>
        <w:r w:rsidR="000E60E0">
          <w:rPr>
            <w:noProof/>
            <w:webHidden/>
          </w:rPr>
          <w:instrText xml:space="preserve"> PAGEREF _Toc169602286 \h </w:instrText>
        </w:r>
        <w:r w:rsidR="000E60E0">
          <w:rPr>
            <w:noProof/>
            <w:webHidden/>
          </w:rPr>
        </w:r>
        <w:r w:rsidR="000E60E0">
          <w:rPr>
            <w:noProof/>
            <w:webHidden/>
          </w:rPr>
          <w:fldChar w:fldCharType="separate"/>
        </w:r>
        <w:r w:rsidR="000E60E0">
          <w:rPr>
            <w:noProof/>
            <w:webHidden/>
          </w:rPr>
          <w:t>76</w:t>
        </w:r>
        <w:r w:rsidR="000E60E0">
          <w:rPr>
            <w:noProof/>
            <w:webHidden/>
          </w:rPr>
          <w:fldChar w:fldCharType="end"/>
        </w:r>
      </w:hyperlink>
    </w:p>
    <w:p w14:paraId="11347B7C"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7" w:history="1">
        <w:r w:rsidR="000E60E0" w:rsidRPr="00EA18E8">
          <w:rPr>
            <w:rStyle w:val="Hyperlink"/>
            <w:noProof/>
          </w:rPr>
          <w:t>5.6.5. Daļiņu PM</w:t>
        </w:r>
        <w:r w:rsidR="000E60E0" w:rsidRPr="00EA18E8">
          <w:rPr>
            <w:rStyle w:val="Hyperlink"/>
            <w:noProof/>
            <w:vertAlign w:val="subscript"/>
          </w:rPr>
          <w:t>2,5</w:t>
        </w:r>
        <w:r w:rsidR="000E60E0" w:rsidRPr="00EA18E8">
          <w:rPr>
            <w:rStyle w:val="Hyperlink"/>
            <w:noProof/>
          </w:rPr>
          <w:t xml:space="preserve"> emisijas</w:t>
        </w:r>
        <w:r w:rsidR="000E60E0">
          <w:rPr>
            <w:noProof/>
            <w:webHidden/>
          </w:rPr>
          <w:tab/>
        </w:r>
        <w:r w:rsidR="000E60E0">
          <w:rPr>
            <w:noProof/>
            <w:webHidden/>
          </w:rPr>
          <w:fldChar w:fldCharType="begin"/>
        </w:r>
        <w:r w:rsidR="000E60E0">
          <w:rPr>
            <w:noProof/>
            <w:webHidden/>
          </w:rPr>
          <w:instrText xml:space="preserve"> PAGEREF _Toc169602287 \h </w:instrText>
        </w:r>
        <w:r w:rsidR="000E60E0">
          <w:rPr>
            <w:noProof/>
            <w:webHidden/>
          </w:rPr>
        </w:r>
        <w:r w:rsidR="000E60E0">
          <w:rPr>
            <w:noProof/>
            <w:webHidden/>
          </w:rPr>
          <w:fldChar w:fldCharType="separate"/>
        </w:r>
        <w:r w:rsidR="000E60E0">
          <w:rPr>
            <w:noProof/>
            <w:webHidden/>
          </w:rPr>
          <w:t>77</w:t>
        </w:r>
        <w:r w:rsidR="000E60E0">
          <w:rPr>
            <w:noProof/>
            <w:webHidden/>
          </w:rPr>
          <w:fldChar w:fldCharType="end"/>
        </w:r>
      </w:hyperlink>
    </w:p>
    <w:p w14:paraId="2571EE88"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8" w:history="1">
        <w:r w:rsidR="000E60E0" w:rsidRPr="00EA18E8">
          <w:rPr>
            <w:rStyle w:val="Hyperlink"/>
            <w:noProof/>
          </w:rPr>
          <w:t>5.6.6. Kvēpu – melnās ogles daļiņas (BC)</w:t>
        </w:r>
        <w:r w:rsidR="000E60E0">
          <w:rPr>
            <w:noProof/>
            <w:webHidden/>
          </w:rPr>
          <w:tab/>
        </w:r>
        <w:r w:rsidR="000E60E0">
          <w:rPr>
            <w:noProof/>
            <w:webHidden/>
          </w:rPr>
          <w:fldChar w:fldCharType="begin"/>
        </w:r>
        <w:r w:rsidR="000E60E0">
          <w:rPr>
            <w:noProof/>
            <w:webHidden/>
          </w:rPr>
          <w:instrText xml:space="preserve"> PAGEREF _Toc169602288 \h </w:instrText>
        </w:r>
        <w:r w:rsidR="000E60E0">
          <w:rPr>
            <w:noProof/>
            <w:webHidden/>
          </w:rPr>
        </w:r>
        <w:r w:rsidR="000E60E0">
          <w:rPr>
            <w:noProof/>
            <w:webHidden/>
          </w:rPr>
          <w:fldChar w:fldCharType="separate"/>
        </w:r>
        <w:r w:rsidR="000E60E0">
          <w:rPr>
            <w:noProof/>
            <w:webHidden/>
          </w:rPr>
          <w:t>78</w:t>
        </w:r>
        <w:r w:rsidR="000E60E0">
          <w:rPr>
            <w:noProof/>
            <w:webHidden/>
          </w:rPr>
          <w:fldChar w:fldCharType="end"/>
        </w:r>
      </w:hyperlink>
    </w:p>
    <w:p w14:paraId="1ED8B0DF"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89" w:history="1">
        <w:r w:rsidR="000E60E0" w:rsidRPr="00EA18E8">
          <w:rPr>
            <w:rStyle w:val="Hyperlink"/>
            <w:noProof/>
          </w:rPr>
          <w:t>5.6.7.Emisiju apkopojums</w:t>
        </w:r>
        <w:r w:rsidR="000E60E0">
          <w:rPr>
            <w:noProof/>
            <w:webHidden/>
          </w:rPr>
          <w:tab/>
        </w:r>
        <w:r w:rsidR="000E60E0">
          <w:rPr>
            <w:noProof/>
            <w:webHidden/>
          </w:rPr>
          <w:fldChar w:fldCharType="begin"/>
        </w:r>
        <w:r w:rsidR="000E60E0">
          <w:rPr>
            <w:noProof/>
            <w:webHidden/>
          </w:rPr>
          <w:instrText xml:space="preserve"> PAGEREF _Toc169602289 \h </w:instrText>
        </w:r>
        <w:r w:rsidR="000E60E0">
          <w:rPr>
            <w:noProof/>
            <w:webHidden/>
          </w:rPr>
        </w:r>
        <w:r w:rsidR="000E60E0">
          <w:rPr>
            <w:noProof/>
            <w:webHidden/>
          </w:rPr>
          <w:fldChar w:fldCharType="separate"/>
        </w:r>
        <w:r w:rsidR="000E60E0">
          <w:rPr>
            <w:noProof/>
            <w:webHidden/>
          </w:rPr>
          <w:t>78</w:t>
        </w:r>
        <w:r w:rsidR="000E60E0">
          <w:rPr>
            <w:noProof/>
            <w:webHidden/>
          </w:rPr>
          <w:fldChar w:fldCharType="end"/>
        </w:r>
      </w:hyperlink>
    </w:p>
    <w:p w14:paraId="7A063034"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0" w:history="1">
        <w:r w:rsidR="000E60E0" w:rsidRPr="00EA18E8">
          <w:rPr>
            <w:rStyle w:val="Hyperlink"/>
            <w:noProof/>
          </w:rPr>
          <w:t>5.7 Klimata pārmaiņas</w:t>
        </w:r>
        <w:r w:rsidR="000E60E0">
          <w:rPr>
            <w:noProof/>
            <w:webHidden/>
          </w:rPr>
          <w:tab/>
        </w:r>
        <w:r w:rsidR="000E60E0">
          <w:rPr>
            <w:noProof/>
            <w:webHidden/>
          </w:rPr>
          <w:fldChar w:fldCharType="begin"/>
        </w:r>
        <w:r w:rsidR="000E60E0">
          <w:rPr>
            <w:noProof/>
            <w:webHidden/>
          </w:rPr>
          <w:instrText xml:space="preserve"> PAGEREF _Toc169602290 \h </w:instrText>
        </w:r>
        <w:r w:rsidR="000E60E0">
          <w:rPr>
            <w:noProof/>
            <w:webHidden/>
          </w:rPr>
        </w:r>
        <w:r w:rsidR="000E60E0">
          <w:rPr>
            <w:noProof/>
            <w:webHidden/>
          </w:rPr>
          <w:fldChar w:fldCharType="separate"/>
        </w:r>
        <w:r w:rsidR="000E60E0">
          <w:rPr>
            <w:noProof/>
            <w:webHidden/>
          </w:rPr>
          <w:t>79</w:t>
        </w:r>
        <w:r w:rsidR="000E60E0">
          <w:rPr>
            <w:noProof/>
            <w:webHidden/>
          </w:rPr>
          <w:fldChar w:fldCharType="end"/>
        </w:r>
      </w:hyperlink>
    </w:p>
    <w:p w14:paraId="5A7428E2"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1" w:history="1">
        <w:r w:rsidR="000E60E0" w:rsidRPr="00EA18E8">
          <w:rPr>
            <w:rStyle w:val="Hyperlink"/>
            <w:noProof/>
          </w:rPr>
          <w:t>5.8 Ainavas</w:t>
        </w:r>
        <w:r w:rsidR="000E60E0">
          <w:rPr>
            <w:noProof/>
            <w:webHidden/>
          </w:rPr>
          <w:tab/>
        </w:r>
        <w:r w:rsidR="000E60E0">
          <w:rPr>
            <w:noProof/>
            <w:webHidden/>
          </w:rPr>
          <w:fldChar w:fldCharType="begin"/>
        </w:r>
        <w:r w:rsidR="000E60E0">
          <w:rPr>
            <w:noProof/>
            <w:webHidden/>
          </w:rPr>
          <w:instrText xml:space="preserve"> PAGEREF _Toc169602291 \h </w:instrText>
        </w:r>
        <w:r w:rsidR="000E60E0">
          <w:rPr>
            <w:noProof/>
            <w:webHidden/>
          </w:rPr>
        </w:r>
        <w:r w:rsidR="000E60E0">
          <w:rPr>
            <w:noProof/>
            <w:webHidden/>
          </w:rPr>
          <w:fldChar w:fldCharType="separate"/>
        </w:r>
        <w:r w:rsidR="000E60E0">
          <w:rPr>
            <w:noProof/>
            <w:webHidden/>
          </w:rPr>
          <w:t>82</w:t>
        </w:r>
        <w:r w:rsidR="000E60E0">
          <w:rPr>
            <w:noProof/>
            <w:webHidden/>
          </w:rPr>
          <w:fldChar w:fldCharType="end"/>
        </w:r>
      </w:hyperlink>
    </w:p>
    <w:p w14:paraId="355158D1"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2" w:history="1">
        <w:r w:rsidR="000E60E0" w:rsidRPr="00EA18E8">
          <w:rPr>
            <w:rStyle w:val="Hyperlink"/>
            <w:noProof/>
          </w:rPr>
          <w:t>5.9 Kultūrvēsturiskie objekti</w:t>
        </w:r>
        <w:r w:rsidR="000E60E0">
          <w:rPr>
            <w:noProof/>
            <w:webHidden/>
          </w:rPr>
          <w:tab/>
        </w:r>
        <w:r w:rsidR="000E60E0">
          <w:rPr>
            <w:noProof/>
            <w:webHidden/>
          </w:rPr>
          <w:fldChar w:fldCharType="begin"/>
        </w:r>
        <w:r w:rsidR="000E60E0">
          <w:rPr>
            <w:noProof/>
            <w:webHidden/>
          </w:rPr>
          <w:instrText xml:space="preserve"> PAGEREF _Toc169602292 \h </w:instrText>
        </w:r>
        <w:r w:rsidR="000E60E0">
          <w:rPr>
            <w:noProof/>
            <w:webHidden/>
          </w:rPr>
        </w:r>
        <w:r w:rsidR="000E60E0">
          <w:rPr>
            <w:noProof/>
            <w:webHidden/>
          </w:rPr>
          <w:fldChar w:fldCharType="separate"/>
        </w:r>
        <w:r w:rsidR="000E60E0">
          <w:rPr>
            <w:noProof/>
            <w:webHidden/>
          </w:rPr>
          <w:t>85</w:t>
        </w:r>
        <w:r w:rsidR="000E60E0">
          <w:rPr>
            <w:noProof/>
            <w:webHidden/>
          </w:rPr>
          <w:fldChar w:fldCharType="end"/>
        </w:r>
      </w:hyperlink>
    </w:p>
    <w:p w14:paraId="0CC9274A"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3" w:history="1">
        <w:r w:rsidR="000E60E0" w:rsidRPr="00EA18E8">
          <w:rPr>
            <w:rStyle w:val="Hyperlink"/>
            <w:noProof/>
          </w:rPr>
          <w:t>5.10 Trokšņa līmenis</w:t>
        </w:r>
        <w:r w:rsidR="000E60E0">
          <w:rPr>
            <w:noProof/>
            <w:webHidden/>
          </w:rPr>
          <w:tab/>
        </w:r>
        <w:r w:rsidR="000E60E0">
          <w:rPr>
            <w:noProof/>
            <w:webHidden/>
          </w:rPr>
          <w:fldChar w:fldCharType="begin"/>
        </w:r>
        <w:r w:rsidR="000E60E0">
          <w:rPr>
            <w:noProof/>
            <w:webHidden/>
          </w:rPr>
          <w:instrText xml:space="preserve"> PAGEREF _Toc169602293 \h </w:instrText>
        </w:r>
        <w:r w:rsidR="000E60E0">
          <w:rPr>
            <w:noProof/>
            <w:webHidden/>
          </w:rPr>
        </w:r>
        <w:r w:rsidR="000E60E0">
          <w:rPr>
            <w:noProof/>
            <w:webHidden/>
          </w:rPr>
          <w:fldChar w:fldCharType="separate"/>
        </w:r>
        <w:r w:rsidR="000E60E0">
          <w:rPr>
            <w:noProof/>
            <w:webHidden/>
          </w:rPr>
          <w:t>86</w:t>
        </w:r>
        <w:r w:rsidR="000E60E0">
          <w:rPr>
            <w:noProof/>
            <w:webHidden/>
          </w:rPr>
          <w:fldChar w:fldCharType="end"/>
        </w:r>
      </w:hyperlink>
    </w:p>
    <w:p w14:paraId="1BF501CD"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294" w:history="1">
        <w:r w:rsidR="000E60E0" w:rsidRPr="00EA18E8">
          <w:rPr>
            <w:rStyle w:val="Hyperlink"/>
            <w:noProof/>
          </w:rPr>
          <w:t>6. PLĀNA ĪSTENOŠANAS PAREDZAMĀ IETEKME UZ VIDI</w:t>
        </w:r>
        <w:r w:rsidR="000E60E0">
          <w:rPr>
            <w:noProof/>
            <w:webHidden/>
          </w:rPr>
          <w:tab/>
        </w:r>
        <w:r w:rsidR="000E60E0">
          <w:rPr>
            <w:noProof/>
            <w:webHidden/>
          </w:rPr>
          <w:fldChar w:fldCharType="begin"/>
        </w:r>
        <w:r w:rsidR="000E60E0">
          <w:rPr>
            <w:noProof/>
            <w:webHidden/>
          </w:rPr>
          <w:instrText xml:space="preserve"> PAGEREF _Toc169602294 \h </w:instrText>
        </w:r>
        <w:r w:rsidR="000E60E0">
          <w:rPr>
            <w:noProof/>
            <w:webHidden/>
          </w:rPr>
        </w:r>
        <w:r w:rsidR="000E60E0">
          <w:rPr>
            <w:noProof/>
            <w:webHidden/>
          </w:rPr>
          <w:fldChar w:fldCharType="separate"/>
        </w:r>
        <w:r w:rsidR="000E60E0">
          <w:rPr>
            <w:noProof/>
            <w:webHidden/>
          </w:rPr>
          <w:t>87</w:t>
        </w:r>
        <w:r w:rsidR="000E60E0">
          <w:rPr>
            <w:noProof/>
            <w:webHidden/>
          </w:rPr>
          <w:fldChar w:fldCharType="end"/>
        </w:r>
      </w:hyperlink>
    </w:p>
    <w:p w14:paraId="2152C6A1"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5" w:history="1">
        <w:r w:rsidR="000E60E0" w:rsidRPr="00EA18E8">
          <w:rPr>
            <w:rStyle w:val="Hyperlink"/>
            <w:noProof/>
          </w:rPr>
          <w:t>6.1 Bioloģiskā daudzveidība, īpaši aizsargājamās dabas teritorijas, sugas un biotopi</w:t>
        </w:r>
        <w:r w:rsidR="000E60E0">
          <w:rPr>
            <w:noProof/>
            <w:webHidden/>
          </w:rPr>
          <w:tab/>
        </w:r>
        <w:r w:rsidR="000E60E0">
          <w:rPr>
            <w:noProof/>
            <w:webHidden/>
          </w:rPr>
          <w:fldChar w:fldCharType="begin"/>
        </w:r>
        <w:r w:rsidR="000E60E0">
          <w:rPr>
            <w:noProof/>
            <w:webHidden/>
          </w:rPr>
          <w:instrText xml:space="preserve"> PAGEREF _Toc169602295 \h </w:instrText>
        </w:r>
        <w:r w:rsidR="000E60E0">
          <w:rPr>
            <w:noProof/>
            <w:webHidden/>
          </w:rPr>
        </w:r>
        <w:r w:rsidR="000E60E0">
          <w:rPr>
            <w:noProof/>
            <w:webHidden/>
          </w:rPr>
          <w:fldChar w:fldCharType="separate"/>
        </w:r>
        <w:r w:rsidR="000E60E0">
          <w:rPr>
            <w:noProof/>
            <w:webHidden/>
          </w:rPr>
          <w:t>87</w:t>
        </w:r>
        <w:r w:rsidR="000E60E0">
          <w:rPr>
            <w:noProof/>
            <w:webHidden/>
          </w:rPr>
          <w:fldChar w:fldCharType="end"/>
        </w:r>
      </w:hyperlink>
    </w:p>
    <w:p w14:paraId="7F9AC7F4"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6" w:history="1">
        <w:r w:rsidR="000E60E0" w:rsidRPr="00EA18E8">
          <w:rPr>
            <w:rStyle w:val="Hyperlink"/>
            <w:noProof/>
          </w:rPr>
          <w:t>6.2 Meža resursi</w:t>
        </w:r>
        <w:r w:rsidR="000E60E0">
          <w:rPr>
            <w:noProof/>
            <w:webHidden/>
          </w:rPr>
          <w:tab/>
        </w:r>
        <w:r w:rsidR="000E60E0">
          <w:rPr>
            <w:noProof/>
            <w:webHidden/>
          </w:rPr>
          <w:fldChar w:fldCharType="begin"/>
        </w:r>
        <w:r w:rsidR="000E60E0">
          <w:rPr>
            <w:noProof/>
            <w:webHidden/>
          </w:rPr>
          <w:instrText xml:space="preserve"> PAGEREF _Toc169602296 \h </w:instrText>
        </w:r>
        <w:r w:rsidR="000E60E0">
          <w:rPr>
            <w:noProof/>
            <w:webHidden/>
          </w:rPr>
        </w:r>
        <w:r w:rsidR="000E60E0">
          <w:rPr>
            <w:noProof/>
            <w:webHidden/>
          </w:rPr>
          <w:fldChar w:fldCharType="separate"/>
        </w:r>
        <w:r w:rsidR="000E60E0">
          <w:rPr>
            <w:noProof/>
            <w:webHidden/>
          </w:rPr>
          <w:t>88</w:t>
        </w:r>
        <w:r w:rsidR="000E60E0">
          <w:rPr>
            <w:noProof/>
            <w:webHidden/>
          </w:rPr>
          <w:fldChar w:fldCharType="end"/>
        </w:r>
      </w:hyperlink>
    </w:p>
    <w:p w14:paraId="6FF5E80E"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7" w:history="1">
        <w:r w:rsidR="000E60E0" w:rsidRPr="00EA18E8">
          <w:rPr>
            <w:rStyle w:val="Hyperlink"/>
            <w:noProof/>
          </w:rPr>
          <w:t>6.3. Ūdens resursi un to kvalitāte</w:t>
        </w:r>
        <w:r w:rsidR="000E60E0">
          <w:rPr>
            <w:noProof/>
            <w:webHidden/>
          </w:rPr>
          <w:tab/>
        </w:r>
        <w:r w:rsidR="000E60E0">
          <w:rPr>
            <w:noProof/>
            <w:webHidden/>
          </w:rPr>
          <w:fldChar w:fldCharType="begin"/>
        </w:r>
        <w:r w:rsidR="000E60E0">
          <w:rPr>
            <w:noProof/>
            <w:webHidden/>
          </w:rPr>
          <w:instrText xml:space="preserve"> PAGEREF _Toc169602297 \h </w:instrText>
        </w:r>
        <w:r w:rsidR="000E60E0">
          <w:rPr>
            <w:noProof/>
            <w:webHidden/>
          </w:rPr>
        </w:r>
        <w:r w:rsidR="000E60E0">
          <w:rPr>
            <w:noProof/>
            <w:webHidden/>
          </w:rPr>
          <w:fldChar w:fldCharType="separate"/>
        </w:r>
        <w:r w:rsidR="000E60E0">
          <w:rPr>
            <w:noProof/>
            <w:webHidden/>
          </w:rPr>
          <w:t>88</w:t>
        </w:r>
        <w:r w:rsidR="000E60E0">
          <w:rPr>
            <w:noProof/>
            <w:webHidden/>
          </w:rPr>
          <w:fldChar w:fldCharType="end"/>
        </w:r>
      </w:hyperlink>
    </w:p>
    <w:p w14:paraId="47D44A36"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8" w:history="1">
        <w:r w:rsidR="000E60E0" w:rsidRPr="00EA18E8">
          <w:rPr>
            <w:rStyle w:val="Hyperlink"/>
            <w:noProof/>
          </w:rPr>
          <w:t>6.4. Augsne</w:t>
        </w:r>
        <w:r w:rsidR="000E60E0">
          <w:rPr>
            <w:noProof/>
            <w:webHidden/>
          </w:rPr>
          <w:tab/>
        </w:r>
        <w:r w:rsidR="000E60E0">
          <w:rPr>
            <w:noProof/>
            <w:webHidden/>
          </w:rPr>
          <w:fldChar w:fldCharType="begin"/>
        </w:r>
        <w:r w:rsidR="000E60E0">
          <w:rPr>
            <w:noProof/>
            <w:webHidden/>
          </w:rPr>
          <w:instrText xml:space="preserve"> PAGEREF _Toc169602298 \h </w:instrText>
        </w:r>
        <w:r w:rsidR="000E60E0">
          <w:rPr>
            <w:noProof/>
            <w:webHidden/>
          </w:rPr>
        </w:r>
        <w:r w:rsidR="000E60E0">
          <w:rPr>
            <w:noProof/>
            <w:webHidden/>
          </w:rPr>
          <w:fldChar w:fldCharType="separate"/>
        </w:r>
        <w:r w:rsidR="000E60E0">
          <w:rPr>
            <w:noProof/>
            <w:webHidden/>
          </w:rPr>
          <w:t>88</w:t>
        </w:r>
        <w:r w:rsidR="000E60E0">
          <w:rPr>
            <w:noProof/>
            <w:webHidden/>
          </w:rPr>
          <w:fldChar w:fldCharType="end"/>
        </w:r>
      </w:hyperlink>
    </w:p>
    <w:p w14:paraId="362FCD76"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299" w:history="1">
        <w:r w:rsidR="000E60E0" w:rsidRPr="00EA18E8">
          <w:rPr>
            <w:rStyle w:val="Hyperlink"/>
            <w:noProof/>
          </w:rPr>
          <w:t>6.5 Atmosfēras gaisa kvalitāte</w:t>
        </w:r>
        <w:r w:rsidR="000E60E0">
          <w:rPr>
            <w:noProof/>
            <w:webHidden/>
          </w:rPr>
          <w:tab/>
        </w:r>
        <w:r w:rsidR="000E60E0">
          <w:rPr>
            <w:noProof/>
            <w:webHidden/>
          </w:rPr>
          <w:fldChar w:fldCharType="begin"/>
        </w:r>
        <w:r w:rsidR="000E60E0">
          <w:rPr>
            <w:noProof/>
            <w:webHidden/>
          </w:rPr>
          <w:instrText xml:space="preserve"> PAGEREF _Toc169602299 \h </w:instrText>
        </w:r>
        <w:r w:rsidR="000E60E0">
          <w:rPr>
            <w:noProof/>
            <w:webHidden/>
          </w:rPr>
        </w:r>
        <w:r w:rsidR="000E60E0">
          <w:rPr>
            <w:noProof/>
            <w:webHidden/>
          </w:rPr>
          <w:fldChar w:fldCharType="separate"/>
        </w:r>
        <w:r w:rsidR="000E60E0">
          <w:rPr>
            <w:noProof/>
            <w:webHidden/>
          </w:rPr>
          <w:t>88</w:t>
        </w:r>
        <w:r w:rsidR="000E60E0">
          <w:rPr>
            <w:noProof/>
            <w:webHidden/>
          </w:rPr>
          <w:fldChar w:fldCharType="end"/>
        </w:r>
      </w:hyperlink>
    </w:p>
    <w:p w14:paraId="62EA0B85"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0" w:history="1">
        <w:r w:rsidR="000E60E0" w:rsidRPr="00EA18E8">
          <w:rPr>
            <w:rStyle w:val="Hyperlink"/>
            <w:noProof/>
          </w:rPr>
          <w:t>6.5.1. Slāpekļa oksīdu emisijas</w:t>
        </w:r>
        <w:r w:rsidR="000E60E0">
          <w:rPr>
            <w:noProof/>
            <w:webHidden/>
          </w:rPr>
          <w:tab/>
        </w:r>
        <w:r w:rsidR="000E60E0">
          <w:rPr>
            <w:noProof/>
            <w:webHidden/>
          </w:rPr>
          <w:fldChar w:fldCharType="begin"/>
        </w:r>
        <w:r w:rsidR="000E60E0">
          <w:rPr>
            <w:noProof/>
            <w:webHidden/>
          </w:rPr>
          <w:instrText xml:space="preserve"> PAGEREF _Toc169602300 \h </w:instrText>
        </w:r>
        <w:r w:rsidR="000E60E0">
          <w:rPr>
            <w:noProof/>
            <w:webHidden/>
          </w:rPr>
        </w:r>
        <w:r w:rsidR="000E60E0">
          <w:rPr>
            <w:noProof/>
            <w:webHidden/>
          </w:rPr>
          <w:fldChar w:fldCharType="separate"/>
        </w:r>
        <w:r w:rsidR="000E60E0">
          <w:rPr>
            <w:noProof/>
            <w:webHidden/>
          </w:rPr>
          <w:t>89</w:t>
        </w:r>
        <w:r w:rsidR="000E60E0">
          <w:rPr>
            <w:noProof/>
            <w:webHidden/>
          </w:rPr>
          <w:fldChar w:fldCharType="end"/>
        </w:r>
      </w:hyperlink>
    </w:p>
    <w:p w14:paraId="47C8DD7C"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1" w:history="1">
        <w:r w:rsidR="000E60E0" w:rsidRPr="00EA18E8">
          <w:rPr>
            <w:rStyle w:val="Hyperlink"/>
            <w:noProof/>
          </w:rPr>
          <w:t>6.5.2. Daļiņu PM</w:t>
        </w:r>
        <w:r w:rsidR="000E60E0" w:rsidRPr="00EA18E8">
          <w:rPr>
            <w:rStyle w:val="Hyperlink"/>
            <w:noProof/>
            <w:vertAlign w:val="subscript"/>
          </w:rPr>
          <w:t>10</w:t>
        </w:r>
        <w:r w:rsidR="000E60E0" w:rsidRPr="00EA18E8">
          <w:rPr>
            <w:rStyle w:val="Hyperlink"/>
            <w:noProof/>
          </w:rPr>
          <w:t xml:space="preserve"> un PM</w:t>
        </w:r>
        <w:r w:rsidR="000E60E0" w:rsidRPr="00EA18E8">
          <w:rPr>
            <w:rStyle w:val="Hyperlink"/>
            <w:noProof/>
            <w:vertAlign w:val="subscript"/>
          </w:rPr>
          <w:t>2,5</w:t>
        </w:r>
        <w:r w:rsidR="000E60E0" w:rsidRPr="00EA18E8">
          <w:rPr>
            <w:rStyle w:val="Hyperlink"/>
            <w:noProof/>
          </w:rPr>
          <w:t xml:space="preserve"> emisijas</w:t>
        </w:r>
        <w:r w:rsidR="000E60E0">
          <w:rPr>
            <w:noProof/>
            <w:webHidden/>
          </w:rPr>
          <w:tab/>
        </w:r>
        <w:r w:rsidR="000E60E0">
          <w:rPr>
            <w:noProof/>
            <w:webHidden/>
          </w:rPr>
          <w:fldChar w:fldCharType="begin"/>
        </w:r>
        <w:r w:rsidR="000E60E0">
          <w:rPr>
            <w:noProof/>
            <w:webHidden/>
          </w:rPr>
          <w:instrText xml:space="preserve"> PAGEREF _Toc169602301 \h </w:instrText>
        </w:r>
        <w:r w:rsidR="000E60E0">
          <w:rPr>
            <w:noProof/>
            <w:webHidden/>
          </w:rPr>
        </w:r>
        <w:r w:rsidR="000E60E0">
          <w:rPr>
            <w:noProof/>
            <w:webHidden/>
          </w:rPr>
          <w:fldChar w:fldCharType="separate"/>
        </w:r>
        <w:r w:rsidR="000E60E0">
          <w:rPr>
            <w:noProof/>
            <w:webHidden/>
          </w:rPr>
          <w:t>89</w:t>
        </w:r>
        <w:r w:rsidR="000E60E0">
          <w:rPr>
            <w:noProof/>
            <w:webHidden/>
          </w:rPr>
          <w:fldChar w:fldCharType="end"/>
        </w:r>
      </w:hyperlink>
    </w:p>
    <w:p w14:paraId="7FE5B4A9"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2" w:history="1">
        <w:r w:rsidR="000E60E0" w:rsidRPr="00EA18E8">
          <w:rPr>
            <w:rStyle w:val="Hyperlink"/>
            <w:noProof/>
          </w:rPr>
          <w:t>6.5.3. Sēra dioksīda emisijas</w:t>
        </w:r>
        <w:r w:rsidR="000E60E0">
          <w:rPr>
            <w:noProof/>
            <w:webHidden/>
          </w:rPr>
          <w:tab/>
        </w:r>
        <w:r w:rsidR="000E60E0">
          <w:rPr>
            <w:noProof/>
            <w:webHidden/>
          </w:rPr>
          <w:fldChar w:fldCharType="begin"/>
        </w:r>
        <w:r w:rsidR="000E60E0">
          <w:rPr>
            <w:noProof/>
            <w:webHidden/>
          </w:rPr>
          <w:instrText xml:space="preserve"> PAGEREF _Toc169602302 \h </w:instrText>
        </w:r>
        <w:r w:rsidR="000E60E0">
          <w:rPr>
            <w:noProof/>
            <w:webHidden/>
          </w:rPr>
        </w:r>
        <w:r w:rsidR="000E60E0">
          <w:rPr>
            <w:noProof/>
            <w:webHidden/>
          </w:rPr>
          <w:fldChar w:fldCharType="separate"/>
        </w:r>
        <w:r w:rsidR="000E60E0">
          <w:rPr>
            <w:noProof/>
            <w:webHidden/>
          </w:rPr>
          <w:t>90</w:t>
        </w:r>
        <w:r w:rsidR="000E60E0">
          <w:rPr>
            <w:noProof/>
            <w:webHidden/>
          </w:rPr>
          <w:fldChar w:fldCharType="end"/>
        </w:r>
      </w:hyperlink>
    </w:p>
    <w:p w14:paraId="2A50B6B3"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3" w:history="1">
        <w:r w:rsidR="000E60E0" w:rsidRPr="00EA18E8">
          <w:rPr>
            <w:rStyle w:val="Hyperlink"/>
            <w:noProof/>
          </w:rPr>
          <w:t>6.5.4. Nemetāna gaistošo organisko savienojumu emisijas</w:t>
        </w:r>
        <w:r w:rsidR="000E60E0">
          <w:rPr>
            <w:noProof/>
            <w:webHidden/>
          </w:rPr>
          <w:tab/>
        </w:r>
        <w:r w:rsidR="000E60E0">
          <w:rPr>
            <w:noProof/>
            <w:webHidden/>
          </w:rPr>
          <w:fldChar w:fldCharType="begin"/>
        </w:r>
        <w:r w:rsidR="000E60E0">
          <w:rPr>
            <w:noProof/>
            <w:webHidden/>
          </w:rPr>
          <w:instrText xml:space="preserve"> PAGEREF _Toc169602303 \h </w:instrText>
        </w:r>
        <w:r w:rsidR="000E60E0">
          <w:rPr>
            <w:noProof/>
            <w:webHidden/>
          </w:rPr>
        </w:r>
        <w:r w:rsidR="000E60E0">
          <w:rPr>
            <w:noProof/>
            <w:webHidden/>
          </w:rPr>
          <w:fldChar w:fldCharType="separate"/>
        </w:r>
        <w:r w:rsidR="000E60E0">
          <w:rPr>
            <w:noProof/>
            <w:webHidden/>
          </w:rPr>
          <w:t>90</w:t>
        </w:r>
        <w:r w:rsidR="000E60E0">
          <w:rPr>
            <w:noProof/>
            <w:webHidden/>
          </w:rPr>
          <w:fldChar w:fldCharType="end"/>
        </w:r>
      </w:hyperlink>
    </w:p>
    <w:p w14:paraId="757DBBE1"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4" w:history="1">
        <w:r w:rsidR="000E60E0" w:rsidRPr="00EA18E8">
          <w:rPr>
            <w:rStyle w:val="Hyperlink"/>
            <w:noProof/>
          </w:rPr>
          <w:t>6.5.5. Amonjaka emisijas</w:t>
        </w:r>
        <w:r w:rsidR="000E60E0">
          <w:rPr>
            <w:noProof/>
            <w:webHidden/>
          </w:rPr>
          <w:tab/>
        </w:r>
        <w:r w:rsidR="000E60E0">
          <w:rPr>
            <w:noProof/>
            <w:webHidden/>
          </w:rPr>
          <w:fldChar w:fldCharType="begin"/>
        </w:r>
        <w:r w:rsidR="000E60E0">
          <w:rPr>
            <w:noProof/>
            <w:webHidden/>
          </w:rPr>
          <w:instrText xml:space="preserve"> PAGEREF _Toc169602304 \h </w:instrText>
        </w:r>
        <w:r w:rsidR="000E60E0">
          <w:rPr>
            <w:noProof/>
            <w:webHidden/>
          </w:rPr>
        </w:r>
        <w:r w:rsidR="000E60E0">
          <w:rPr>
            <w:noProof/>
            <w:webHidden/>
          </w:rPr>
          <w:fldChar w:fldCharType="separate"/>
        </w:r>
        <w:r w:rsidR="000E60E0">
          <w:rPr>
            <w:noProof/>
            <w:webHidden/>
          </w:rPr>
          <w:t>90</w:t>
        </w:r>
        <w:r w:rsidR="000E60E0">
          <w:rPr>
            <w:noProof/>
            <w:webHidden/>
          </w:rPr>
          <w:fldChar w:fldCharType="end"/>
        </w:r>
      </w:hyperlink>
    </w:p>
    <w:p w14:paraId="739D922F"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5" w:history="1">
        <w:r w:rsidR="000E60E0" w:rsidRPr="00EA18E8">
          <w:rPr>
            <w:rStyle w:val="Hyperlink"/>
            <w:noProof/>
          </w:rPr>
          <w:t>6.5.6. Kopējās emisijas</w:t>
        </w:r>
        <w:r w:rsidR="000E60E0">
          <w:rPr>
            <w:noProof/>
            <w:webHidden/>
          </w:rPr>
          <w:tab/>
        </w:r>
        <w:r w:rsidR="000E60E0">
          <w:rPr>
            <w:noProof/>
            <w:webHidden/>
          </w:rPr>
          <w:fldChar w:fldCharType="begin"/>
        </w:r>
        <w:r w:rsidR="000E60E0">
          <w:rPr>
            <w:noProof/>
            <w:webHidden/>
          </w:rPr>
          <w:instrText xml:space="preserve"> PAGEREF _Toc169602305 \h </w:instrText>
        </w:r>
        <w:r w:rsidR="000E60E0">
          <w:rPr>
            <w:noProof/>
            <w:webHidden/>
          </w:rPr>
        </w:r>
        <w:r w:rsidR="000E60E0">
          <w:rPr>
            <w:noProof/>
            <w:webHidden/>
          </w:rPr>
          <w:fldChar w:fldCharType="separate"/>
        </w:r>
        <w:r w:rsidR="000E60E0">
          <w:rPr>
            <w:noProof/>
            <w:webHidden/>
          </w:rPr>
          <w:t>90</w:t>
        </w:r>
        <w:r w:rsidR="000E60E0">
          <w:rPr>
            <w:noProof/>
            <w:webHidden/>
          </w:rPr>
          <w:fldChar w:fldCharType="end"/>
        </w:r>
      </w:hyperlink>
    </w:p>
    <w:p w14:paraId="7EFE0131"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6" w:history="1">
        <w:r w:rsidR="000E60E0" w:rsidRPr="00EA18E8">
          <w:rPr>
            <w:rStyle w:val="Hyperlink"/>
            <w:noProof/>
          </w:rPr>
          <w:t>6.6 Ainavas</w:t>
        </w:r>
        <w:r w:rsidR="000E60E0">
          <w:rPr>
            <w:noProof/>
            <w:webHidden/>
          </w:rPr>
          <w:tab/>
        </w:r>
        <w:r w:rsidR="000E60E0">
          <w:rPr>
            <w:noProof/>
            <w:webHidden/>
          </w:rPr>
          <w:fldChar w:fldCharType="begin"/>
        </w:r>
        <w:r w:rsidR="000E60E0">
          <w:rPr>
            <w:noProof/>
            <w:webHidden/>
          </w:rPr>
          <w:instrText xml:space="preserve"> PAGEREF _Toc169602306 \h </w:instrText>
        </w:r>
        <w:r w:rsidR="000E60E0">
          <w:rPr>
            <w:noProof/>
            <w:webHidden/>
          </w:rPr>
        </w:r>
        <w:r w:rsidR="000E60E0">
          <w:rPr>
            <w:noProof/>
            <w:webHidden/>
          </w:rPr>
          <w:fldChar w:fldCharType="separate"/>
        </w:r>
        <w:r w:rsidR="000E60E0">
          <w:rPr>
            <w:noProof/>
            <w:webHidden/>
          </w:rPr>
          <w:t>91</w:t>
        </w:r>
        <w:r w:rsidR="000E60E0">
          <w:rPr>
            <w:noProof/>
            <w:webHidden/>
          </w:rPr>
          <w:fldChar w:fldCharType="end"/>
        </w:r>
      </w:hyperlink>
    </w:p>
    <w:p w14:paraId="7180B932"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7" w:history="1">
        <w:r w:rsidR="000E60E0" w:rsidRPr="00EA18E8">
          <w:rPr>
            <w:rStyle w:val="Hyperlink"/>
            <w:noProof/>
          </w:rPr>
          <w:t>6.7 Kultūrvēsturiskie objekti</w:t>
        </w:r>
        <w:r w:rsidR="000E60E0">
          <w:rPr>
            <w:noProof/>
            <w:webHidden/>
          </w:rPr>
          <w:tab/>
        </w:r>
        <w:r w:rsidR="000E60E0">
          <w:rPr>
            <w:noProof/>
            <w:webHidden/>
          </w:rPr>
          <w:fldChar w:fldCharType="begin"/>
        </w:r>
        <w:r w:rsidR="000E60E0">
          <w:rPr>
            <w:noProof/>
            <w:webHidden/>
          </w:rPr>
          <w:instrText xml:space="preserve"> PAGEREF _Toc169602307 \h </w:instrText>
        </w:r>
        <w:r w:rsidR="000E60E0">
          <w:rPr>
            <w:noProof/>
            <w:webHidden/>
          </w:rPr>
        </w:r>
        <w:r w:rsidR="000E60E0">
          <w:rPr>
            <w:noProof/>
            <w:webHidden/>
          </w:rPr>
          <w:fldChar w:fldCharType="separate"/>
        </w:r>
        <w:r w:rsidR="000E60E0">
          <w:rPr>
            <w:noProof/>
            <w:webHidden/>
          </w:rPr>
          <w:t>92</w:t>
        </w:r>
        <w:r w:rsidR="000E60E0">
          <w:rPr>
            <w:noProof/>
            <w:webHidden/>
          </w:rPr>
          <w:fldChar w:fldCharType="end"/>
        </w:r>
      </w:hyperlink>
    </w:p>
    <w:p w14:paraId="724DB1DD"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8" w:history="1">
        <w:r w:rsidR="000E60E0" w:rsidRPr="00EA18E8">
          <w:rPr>
            <w:rStyle w:val="Hyperlink"/>
            <w:noProof/>
          </w:rPr>
          <w:t>6.8. Trokšņa līmenis</w:t>
        </w:r>
        <w:r w:rsidR="000E60E0">
          <w:rPr>
            <w:noProof/>
            <w:webHidden/>
          </w:rPr>
          <w:tab/>
        </w:r>
        <w:r w:rsidR="000E60E0">
          <w:rPr>
            <w:noProof/>
            <w:webHidden/>
          </w:rPr>
          <w:fldChar w:fldCharType="begin"/>
        </w:r>
        <w:r w:rsidR="000E60E0">
          <w:rPr>
            <w:noProof/>
            <w:webHidden/>
          </w:rPr>
          <w:instrText xml:space="preserve"> PAGEREF _Toc169602308 \h </w:instrText>
        </w:r>
        <w:r w:rsidR="000E60E0">
          <w:rPr>
            <w:noProof/>
            <w:webHidden/>
          </w:rPr>
        </w:r>
        <w:r w:rsidR="000E60E0">
          <w:rPr>
            <w:noProof/>
            <w:webHidden/>
          </w:rPr>
          <w:fldChar w:fldCharType="separate"/>
        </w:r>
        <w:r w:rsidR="000E60E0">
          <w:rPr>
            <w:noProof/>
            <w:webHidden/>
          </w:rPr>
          <w:t>92</w:t>
        </w:r>
        <w:r w:rsidR="000E60E0">
          <w:rPr>
            <w:noProof/>
            <w:webHidden/>
          </w:rPr>
          <w:fldChar w:fldCharType="end"/>
        </w:r>
      </w:hyperlink>
    </w:p>
    <w:p w14:paraId="29AD717C"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09" w:history="1">
        <w:r w:rsidR="000E60E0" w:rsidRPr="00EA18E8">
          <w:rPr>
            <w:rStyle w:val="Hyperlink"/>
            <w:noProof/>
          </w:rPr>
          <w:t>6.9 Klimata pārmaiņas</w:t>
        </w:r>
        <w:r w:rsidR="000E60E0">
          <w:rPr>
            <w:noProof/>
            <w:webHidden/>
          </w:rPr>
          <w:tab/>
        </w:r>
        <w:r w:rsidR="000E60E0">
          <w:rPr>
            <w:noProof/>
            <w:webHidden/>
          </w:rPr>
          <w:fldChar w:fldCharType="begin"/>
        </w:r>
        <w:r w:rsidR="000E60E0">
          <w:rPr>
            <w:noProof/>
            <w:webHidden/>
          </w:rPr>
          <w:instrText xml:space="preserve"> PAGEREF _Toc169602309 \h </w:instrText>
        </w:r>
        <w:r w:rsidR="000E60E0">
          <w:rPr>
            <w:noProof/>
            <w:webHidden/>
          </w:rPr>
        </w:r>
        <w:r w:rsidR="000E60E0">
          <w:rPr>
            <w:noProof/>
            <w:webHidden/>
          </w:rPr>
          <w:fldChar w:fldCharType="separate"/>
        </w:r>
        <w:r w:rsidR="000E60E0">
          <w:rPr>
            <w:noProof/>
            <w:webHidden/>
          </w:rPr>
          <w:t>93</w:t>
        </w:r>
        <w:r w:rsidR="000E60E0">
          <w:rPr>
            <w:noProof/>
            <w:webHidden/>
          </w:rPr>
          <w:fldChar w:fldCharType="end"/>
        </w:r>
      </w:hyperlink>
    </w:p>
    <w:p w14:paraId="7DE761CF"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10" w:history="1">
        <w:r w:rsidR="000E60E0" w:rsidRPr="00EA18E8">
          <w:rPr>
            <w:rStyle w:val="Hyperlink"/>
            <w:noProof/>
          </w:rPr>
          <w:t>6.10. Pārrobežu ietekmes</w:t>
        </w:r>
        <w:r w:rsidR="000E60E0">
          <w:rPr>
            <w:noProof/>
            <w:webHidden/>
          </w:rPr>
          <w:tab/>
        </w:r>
        <w:r w:rsidR="000E60E0">
          <w:rPr>
            <w:noProof/>
            <w:webHidden/>
          </w:rPr>
          <w:fldChar w:fldCharType="begin"/>
        </w:r>
        <w:r w:rsidR="000E60E0">
          <w:rPr>
            <w:noProof/>
            <w:webHidden/>
          </w:rPr>
          <w:instrText xml:space="preserve"> PAGEREF _Toc169602310 \h </w:instrText>
        </w:r>
        <w:r w:rsidR="000E60E0">
          <w:rPr>
            <w:noProof/>
            <w:webHidden/>
          </w:rPr>
        </w:r>
        <w:r w:rsidR="000E60E0">
          <w:rPr>
            <w:noProof/>
            <w:webHidden/>
          </w:rPr>
          <w:fldChar w:fldCharType="separate"/>
        </w:r>
        <w:r w:rsidR="000E60E0">
          <w:rPr>
            <w:noProof/>
            <w:webHidden/>
          </w:rPr>
          <w:t>93</w:t>
        </w:r>
        <w:r w:rsidR="000E60E0">
          <w:rPr>
            <w:noProof/>
            <w:webHidden/>
          </w:rPr>
          <w:fldChar w:fldCharType="end"/>
        </w:r>
      </w:hyperlink>
    </w:p>
    <w:p w14:paraId="30A03225"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11" w:history="1">
        <w:r w:rsidR="000E60E0" w:rsidRPr="00EA18E8">
          <w:rPr>
            <w:rStyle w:val="Hyperlink"/>
            <w:noProof/>
          </w:rPr>
          <w:t>6.11. Kopvērtējums</w:t>
        </w:r>
        <w:r w:rsidR="000E60E0">
          <w:rPr>
            <w:noProof/>
            <w:webHidden/>
          </w:rPr>
          <w:tab/>
        </w:r>
        <w:r w:rsidR="000E60E0">
          <w:rPr>
            <w:noProof/>
            <w:webHidden/>
          </w:rPr>
          <w:fldChar w:fldCharType="begin"/>
        </w:r>
        <w:r w:rsidR="000E60E0">
          <w:rPr>
            <w:noProof/>
            <w:webHidden/>
          </w:rPr>
          <w:instrText xml:space="preserve"> PAGEREF _Toc169602311 \h </w:instrText>
        </w:r>
        <w:r w:rsidR="000E60E0">
          <w:rPr>
            <w:noProof/>
            <w:webHidden/>
          </w:rPr>
        </w:r>
        <w:r w:rsidR="000E60E0">
          <w:rPr>
            <w:noProof/>
            <w:webHidden/>
          </w:rPr>
          <w:fldChar w:fldCharType="separate"/>
        </w:r>
        <w:r w:rsidR="000E60E0">
          <w:rPr>
            <w:noProof/>
            <w:webHidden/>
          </w:rPr>
          <w:t>93</w:t>
        </w:r>
        <w:r w:rsidR="000E60E0">
          <w:rPr>
            <w:noProof/>
            <w:webHidden/>
          </w:rPr>
          <w:fldChar w:fldCharType="end"/>
        </w:r>
      </w:hyperlink>
    </w:p>
    <w:p w14:paraId="0CB0774F" w14:textId="77777777" w:rsidR="000E60E0" w:rsidRDefault="00025808">
      <w:pPr>
        <w:pStyle w:val="TOC2"/>
        <w:tabs>
          <w:tab w:val="right" w:leader="dot" w:pos="9061"/>
        </w:tabs>
        <w:rPr>
          <w:rFonts w:asciiTheme="minorHAnsi" w:eastAsiaTheme="minorEastAsia" w:hAnsiTheme="minorHAnsi" w:cstheme="minorBidi"/>
          <w:noProof/>
          <w:sz w:val="22"/>
          <w:szCs w:val="22"/>
          <w:lang w:eastAsia="lv-LV"/>
        </w:rPr>
      </w:pPr>
      <w:hyperlink w:anchor="_Toc169602312" w:history="1">
        <w:r w:rsidR="000E60E0" w:rsidRPr="00EA18E8">
          <w:rPr>
            <w:rStyle w:val="Hyperlink"/>
            <w:noProof/>
          </w:rPr>
          <w:t>6.12. Plāna novērtējums rīcībpolitiku līmenī</w:t>
        </w:r>
        <w:r w:rsidR="000E60E0">
          <w:rPr>
            <w:noProof/>
            <w:webHidden/>
          </w:rPr>
          <w:tab/>
        </w:r>
        <w:r w:rsidR="000E60E0">
          <w:rPr>
            <w:noProof/>
            <w:webHidden/>
          </w:rPr>
          <w:fldChar w:fldCharType="begin"/>
        </w:r>
        <w:r w:rsidR="000E60E0">
          <w:rPr>
            <w:noProof/>
            <w:webHidden/>
          </w:rPr>
          <w:instrText xml:space="preserve"> PAGEREF _Toc169602312 \h </w:instrText>
        </w:r>
        <w:r w:rsidR="000E60E0">
          <w:rPr>
            <w:noProof/>
            <w:webHidden/>
          </w:rPr>
        </w:r>
        <w:r w:rsidR="000E60E0">
          <w:rPr>
            <w:noProof/>
            <w:webHidden/>
          </w:rPr>
          <w:fldChar w:fldCharType="separate"/>
        </w:r>
        <w:r w:rsidR="000E60E0">
          <w:rPr>
            <w:noProof/>
            <w:webHidden/>
          </w:rPr>
          <w:t>95</w:t>
        </w:r>
        <w:r w:rsidR="000E60E0">
          <w:rPr>
            <w:noProof/>
            <w:webHidden/>
          </w:rPr>
          <w:fldChar w:fldCharType="end"/>
        </w:r>
      </w:hyperlink>
    </w:p>
    <w:p w14:paraId="68DDB836"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313" w:history="1">
        <w:r w:rsidR="000E60E0" w:rsidRPr="00EA18E8">
          <w:rPr>
            <w:rStyle w:val="Hyperlink"/>
            <w:noProof/>
          </w:rPr>
          <w:t>7. Plāna monitorings un rezultatīvie rādītāji</w:t>
        </w:r>
        <w:r w:rsidR="000E60E0">
          <w:rPr>
            <w:noProof/>
            <w:webHidden/>
          </w:rPr>
          <w:tab/>
        </w:r>
        <w:r w:rsidR="000E60E0">
          <w:rPr>
            <w:noProof/>
            <w:webHidden/>
          </w:rPr>
          <w:fldChar w:fldCharType="begin"/>
        </w:r>
        <w:r w:rsidR="000E60E0">
          <w:rPr>
            <w:noProof/>
            <w:webHidden/>
          </w:rPr>
          <w:instrText xml:space="preserve"> PAGEREF _Toc169602313 \h </w:instrText>
        </w:r>
        <w:r w:rsidR="000E60E0">
          <w:rPr>
            <w:noProof/>
            <w:webHidden/>
          </w:rPr>
        </w:r>
        <w:r w:rsidR="000E60E0">
          <w:rPr>
            <w:noProof/>
            <w:webHidden/>
          </w:rPr>
          <w:fldChar w:fldCharType="separate"/>
        </w:r>
        <w:r w:rsidR="000E60E0">
          <w:rPr>
            <w:noProof/>
            <w:webHidden/>
          </w:rPr>
          <w:t>97</w:t>
        </w:r>
        <w:r w:rsidR="000E60E0">
          <w:rPr>
            <w:noProof/>
            <w:webHidden/>
          </w:rPr>
          <w:fldChar w:fldCharType="end"/>
        </w:r>
      </w:hyperlink>
    </w:p>
    <w:p w14:paraId="1CF0D765" w14:textId="77777777" w:rsidR="000E60E0" w:rsidRDefault="00025808">
      <w:pPr>
        <w:pStyle w:val="TOC1"/>
        <w:tabs>
          <w:tab w:val="right" w:leader="dot" w:pos="9061"/>
        </w:tabs>
        <w:rPr>
          <w:rFonts w:asciiTheme="minorHAnsi" w:eastAsiaTheme="minorEastAsia" w:hAnsiTheme="minorHAnsi" w:cstheme="minorBidi"/>
          <w:noProof/>
          <w:sz w:val="22"/>
          <w:szCs w:val="22"/>
          <w:lang w:eastAsia="lv-LV"/>
        </w:rPr>
      </w:pPr>
      <w:hyperlink w:anchor="_Toc169602314" w:history="1">
        <w:r w:rsidR="000E60E0" w:rsidRPr="00EA18E8">
          <w:rPr>
            <w:rStyle w:val="Hyperlink"/>
            <w:noProof/>
          </w:rPr>
          <w:t>8. Secinājumi un rekomendācijas</w:t>
        </w:r>
        <w:r w:rsidR="000E60E0">
          <w:rPr>
            <w:noProof/>
            <w:webHidden/>
          </w:rPr>
          <w:tab/>
        </w:r>
        <w:r w:rsidR="000E60E0">
          <w:rPr>
            <w:noProof/>
            <w:webHidden/>
          </w:rPr>
          <w:fldChar w:fldCharType="begin"/>
        </w:r>
        <w:r w:rsidR="000E60E0">
          <w:rPr>
            <w:noProof/>
            <w:webHidden/>
          </w:rPr>
          <w:instrText xml:space="preserve"> PAGEREF _Toc169602314 \h </w:instrText>
        </w:r>
        <w:r w:rsidR="000E60E0">
          <w:rPr>
            <w:noProof/>
            <w:webHidden/>
          </w:rPr>
        </w:r>
        <w:r w:rsidR="000E60E0">
          <w:rPr>
            <w:noProof/>
            <w:webHidden/>
          </w:rPr>
          <w:fldChar w:fldCharType="separate"/>
        </w:r>
        <w:r w:rsidR="000E60E0">
          <w:rPr>
            <w:noProof/>
            <w:webHidden/>
          </w:rPr>
          <w:t>101</w:t>
        </w:r>
        <w:r w:rsidR="000E60E0">
          <w:rPr>
            <w:noProof/>
            <w:webHidden/>
          </w:rPr>
          <w:fldChar w:fldCharType="end"/>
        </w:r>
      </w:hyperlink>
    </w:p>
    <w:p w14:paraId="54AA9381" w14:textId="77777777" w:rsidR="007E2FEC" w:rsidRPr="004826D1" w:rsidRDefault="00EC5ADD" w:rsidP="00A77747">
      <w:pPr>
        <w:jc w:val="both"/>
        <w:rPr>
          <w:rFonts w:cs="Times New Roman"/>
          <w:spacing w:val="-4"/>
          <w:sz w:val="22"/>
          <w:szCs w:val="22"/>
        </w:rPr>
      </w:pPr>
      <w:r w:rsidRPr="004826D1">
        <w:rPr>
          <w:rFonts w:cs="Times New Roman"/>
          <w:spacing w:val="-4"/>
          <w:sz w:val="22"/>
          <w:szCs w:val="22"/>
        </w:rPr>
        <w:fldChar w:fldCharType="end"/>
      </w:r>
    </w:p>
    <w:p w14:paraId="2EE9952E" w14:textId="77777777" w:rsidR="00666770" w:rsidRDefault="00666770" w:rsidP="003808E0">
      <w:pPr>
        <w:jc w:val="both"/>
        <w:rPr>
          <w:rFonts w:eastAsia="Calibri" w:cs="Times New Roman"/>
          <w:b/>
          <w:color w:val="000000"/>
          <w:szCs w:val="24"/>
        </w:rPr>
      </w:pPr>
    </w:p>
    <w:p w14:paraId="520CCCF8" w14:textId="77777777" w:rsidR="00967500" w:rsidRPr="003808E0" w:rsidRDefault="003808E0" w:rsidP="003808E0">
      <w:pPr>
        <w:jc w:val="both"/>
        <w:rPr>
          <w:rFonts w:eastAsia="Calibri" w:cs="Times New Roman"/>
          <w:b/>
          <w:color w:val="000000"/>
          <w:szCs w:val="24"/>
        </w:rPr>
      </w:pPr>
      <w:r w:rsidRPr="003808E0">
        <w:rPr>
          <w:rFonts w:eastAsia="Calibri" w:cs="Times New Roman"/>
          <w:b/>
          <w:color w:val="000000"/>
          <w:szCs w:val="24"/>
        </w:rPr>
        <w:t>Pielikums. Plāna rīcībpolitiku ietekme uz vidi</w:t>
      </w:r>
    </w:p>
    <w:p w14:paraId="502015F7" w14:textId="77777777" w:rsidR="00967500" w:rsidRPr="004826D1" w:rsidRDefault="00967500" w:rsidP="00926A3C">
      <w:pPr>
        <w:jc w:val="both"/>
        <w:rPr>
          <w:rFonts w:cs="Times New Roman"/>
          <w:b/>
          <w:sz w:val="28"/>
        </w:rPr>
      </w:pPr>
    </w:p>
    <w:p w14:paraId="79F796B1" w14:textId="36CCD66F" w:rsidR="003D3CA6" w:rsidRPr="004826D1" w:rsidRDefault="00926A3C" w:rsidP="003D3CA6">
      <w:pPr>
        <w:pStyle w:val="Heading1"/>
        <w:rPr>
          <w:rFonts w:ascii="Times New Roman" w:hAnsi="Times New Roman"/>
          <w:lang w:val="lv-LV"/>
        </w:rPr>
      </w:pPr>
      <w:bookmarkStart w:id="0" w:name="_Toc340676649"/>
      <w:r w:rsidRPr="004826D1">
        <w:rPr>
          <w:rFonts w:ascii="Times New Roman" w:hAnsi="Times New Roman"/>
          <w:lang w:val="lv-LV"/>
        </w:rPr>
        <w:br w:type="page"/>
      </w:r>
      <w:bookmarkStart w:id="1" w:name="_Toc169602224"/>
      <w:r w:rsidR="00BE17E9" w:rsidRPr="004826D1">
        <w:rPr>
          <w:rFonts w:ascii="Times New Roman" w:hAnsi="Times New Roman"/>
          <w:lang w:val="lv-LV"/>
        </w:rPr>
        <w:lastRenderedPageBreak/>
        <w:t>P</w:t>
      </w:r>
      <w:r w:rsidR="00FD1783" w:rsidRPr="004826D1">
        <w:rPr>
          <w:rFonts w:ascii="Times New Roman" w:hAnsi="Times New Roman"/>
          <w:lang w:val="lv-LV"/>
        </w:rPr>
        <w:t xml:space="preserve">lānā </w:t>
      </w:r>
      <w:r w:rsidR="002E5286">
        <w:rPr>
          <w:rFonts w:ascii="Times New Roman" w:hAnsi="Times New Roman"/>
          <w:lang w:val="lv-LV"/>
        </w:rPr>
        <w:t xml:space="preserve">un vides pārskatā </w:t>
      </w:r>
      <w:r w:rsidR="00BE17E9" w:rsidRPr="004826D1">
        <w:rPr>
          <w:rFonts w:ascii="Times New Roman" w:hAnsi="Times New Roman"/>
          <w:lang w:val="lv-LV"/>
        </w:rPr>
        <w:t>l</w:t>
      </w:r>
      <w:r w:rsidR="00EC5ADD" w:rsidRPr="004826D1">
        <w:rPr>
          <w:rFonts w:ascii="Times New Roman" w:hAnsi="Times New Roman"/>
          <w:lang w:val="lv-LV"/>
        </w:rPr>
        <w:t>ietotie saīsinājumi</w:t>
      </w:r>
      <w:bookmarkEnd w:id="0"/>
      <w:bookmarkEnd w:id="1"/>
    </w:p>
    <w:p w14:paraId="2A5D0F12" w14:textId="77777777" w:rsidR="00AE2C28" w:rsidRPr="004826D1" w:rsidRDefault="00AE2C28" w:rsidP="00AE2C28">
      <w:pPr>
        <w:pStyle w:val="Heading1"/>
        <w:ind w:left="360"/>
        <w:rPr>
          <w:lang w:val="lv-LV"/>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8608"/>
      </w:tblGrid>
      <w:tr w:rsidR="00AE2C28" w:rsidRPr="004826D1" w14:paraId="68DE46B5" w14:textId="77777777" w:rsidTr="00987C4A">
        <w:trPr>
          <w:trHeight w:val="278"/>
          <w:jc w:val="center"/>
        </w:trPr>
        <w:tc>
          <w:tcPr>
            <w:tcW w:w="1271" w:type="dxa"/>
            <w:tcMar>
              <w:left w:w="28" w:type="dxa"/>
              <w:right w:w="28" w:type="dxa"/>
            </w:tcMar>
            <w:vAlign w:val="center"/>
          </w:tcPr>
          <w:p w14:paraId="4F17E84D" w14:textId="77777777" w:rsidR="00AE2C28" w:rsidRPr="004826D1" w:rsidRDefault="00AE2C28" w:rsidP="00987C4A">
            <w:pPr>
              <w:rPr>
                <w:rFonts w:eastAsia="Calibri"/>
                <w:szCs w:val="24"/>
              </w:rPr>
            </w:pPr>
            <w:r w:rsidRPr="004826D1">
              <w:rPr>
                <w:rFonts w:eastAsia="Calibri"/>
                <w:szCs w:val="24"/>
              </w:rPr>
              <w:t>AE</w:t>
            </w:r>
          </w:p>
        </w:tc>
        <w:tc>
          <w:tcPr>
            <w:tcW w:w="8647" w:type="dxa"/>
            <w:tcMar>
              <w:left w:w="28" w:type="dxa"/>
              <w:right w:w="28" w:type="dxa"/>
            </w:tcMar>
            <w:vAlign w:val="center"/>
          </w:tcPr>
          <w:p w14:paraId="6337A5BE" w14:textId="77777777" w:rsidR="00AE2C28" w:rsidRPr="004826D1" w:rsidRDefault="00AE2C28" w:rsidP="00987C4A">
            <w:pPr>
              <w:rPr>
                <w:rFonts w:eastAsia="Calibri"/>
                <w:szCs w:val="24"/>
              </w:rPr>
            </w:pPr>
            <w:r w:rsidRPr="004826D1">
              <w:rPr>
                <w:rFonts w:eastAsia="Calibri"/>
                <w:szCs w:val="24"/>
              </w:rPr>
              <w:t>Atjaunojamā enerģija</w:t>
            </w:r>
          </w:p>
        </w:tc>
      </w:tr>
      <w:tr w:rsidR="00AE2C28" w:rsidRPr="004826D1" w14:paraId="50041E9F" w14:textId="77777777" w:rsidTr="00987C4A">
        <w:trPr>
          <w:trHeight w:val="278"/>
          <w:jc w:val="center"/>
        </w:trPr>
        <w:tc>
          <w:tcPr>
            <w:tcW w:w="1271" w:type="dxa"/>
            <w:tcMar>
              <w:left w:w="28" w:type="dxa"/>
              <w:right w:w="28" w:type="dxa"/>
            </w:tcMar>
            <w:vAlign w:val="center"/>
            <w:hideMark/>
          </w:tcPr>
          <w:p w14:paraId="324B820B" w14:textId="77777777" w:rsidR="00AE2C28" w:rsidRPr="004826D1" w:rsidRDefault="00AE2C28" w:rsidP="00987C4A">
            <w:pPr>
              <w:rPr>
                <w:rFonts w:eastAsia="Calibri"/>
                <w:szCs w:val="24"/>
              </w:rPr>
            </w:pPr>
            <w:r w:rsidRPr="004826D1">
              <w:rPr>
                <w:rFonts w:eastAsia="Calibri"/>
                <w:szCs w:val="24"/>
              </w:rPr>
              <w:t>AER</w:t>
            </w:r>
          </w:p>
        </w:tc>
        <w:tc>
          <w:tcPr>
            <w:tcW w:w="8647" w:type="dxa"/>
            <w:tcMar>
              <w:left w:w="28" w:type="dxa"/>
              <w:right w:w="28" w:type="dxa"/>
            </w:tcMar>
            <w:vAlign w:val="center"/>
            <w:hideMark/>
          </w:tcPr>
          <w:p w14:paraId="15C8B63E" w14:textId="77777777" w:rsidR="00AE2C28" w:rsidRPr="004826D1" w:rsidRDefault="00AE2C28" w:rsidP="00987C4A">
            <w:pPr>
              <w:rPr>
                <w:rFonts w:eastAsia="Calibri"/>
                <w:szCs w:val="24"/>
              </w:rPr>
            </w:pPr>
            <w:r w:rsidRPr="004826D1">
              <w:rPr>
                <w:rFonts w:eastAsia="Calibri"/>
                <w:szCs w:val="24"/>
              </w:rPr>
              <w:t>Atjaunojamie energoresursi</w:t>
            </w:r>
          </w:p>
        </w:tc>
      </w:tr>
      <w:tr w:rsidR="00AE2C28" w:rsidRPr="004826D1" w14:paraId="2390BEB3" w14:textId="77777777" w:rsidTr="00987C4A">
        <w:trPr>
          <w:trHeight w:val="278"/>
          <w:jc w:val="center"/>
        </w:trPr>
        <w:tc>
          <w:tcPr>
            <w:tcW w:w="1271" w:type="dxa"/>
            <w:tcMar>
              <w:left w:w="28" w:type="dxa"/>
              <w:right w:w="28" w:type="dxa"/>
            </w:tcMar>
            <w:vAlign w:val="center"/>
            <w:hideMark/>
          </w:tcPr>
          <w:p w14:paraId="49179925" w14:textId="77777777" w:rsidR="00AE2C28" w:rsidRPr="004826D1" w:rsidRDefault="00AE2C28" w:rsidP="00987C4A">
            <w:pPr>
              <w:rPr>
                <w:rFonts w:eastAsia="Calibri"/>
                <w:szCs w:val="24"/>
              </w:rPr>
            </w:pPr>
            <w:r w:rsidRPr="004826D1">
              <w:rPr>
                <w:rFonts w:eastAsia="Calibri"/>
                <w:szCs w:val="24"/>
              </w:rPr>
              <w:t>ANO</w:t>
            </w:r>
          </w:p>
        </w:tc>
        <w:tc>
          <w:tcPr>
            <w:tcW w:w="8647" w:type="dxa"/>
            <w:tcMar>
              <w:left w:w="28" w:type="dxa"/>
              <w:right w:w="28" w:type="dxa"/>
            </w:tcMar>
            <w:vAlign w:val="center"/>
            <w:hideMark/>
          </w:tcPr>
          <w:p w14:paraId="295B030C" w14:textId="77777777" w:rsidR="00AE2C28" w:rsidRPr="004826D1" w:rsidRDefault="00AE2C28" w:rsidP="00987C4A">
            <w:pPr>
              <w:rPr>
                <w:rFonts w:eastAsia="Calibri"/>
                <w:szCs w:val="24"/>
              </w:rPr>
            </w:pPr>
            <w:r w:rsidRPr="004826D1">
              <w:rPr>
                <w:rFonts w:eastAsia="Calibri"/>
                <w:szCs w:val="24"/>
              </w:rPr>
              <w:t>Apvienoto Nāciju Organizācija</w:t>
            </w:r>
          </w:p>
        </w:tc>
      </w:tr>
      <w:tr w:rsidR="00AE2C28" w:rsidRPr="004826D1" w14:paraId="32D009A8" w14:textId="77777777" w:rsidTr="00987C4A">
        <w:trPr>
          <w:trHeight w:val="278"/>
          <w:jc w:val="center"/>
        </w:trPr>
        <w:tc>
          <w:tcPr>
            <w:tcW w:w="1271" w:type="dxa"/>
            <w:tcMar>
              <w:left w:w="28" w:type="dxa"/>
              <w:right w:w="28" w:type="dxa"/>
            </w:tcMar>
            <w:vAlign w:val="center"/>
          </w:tcPr>
          <w:p w14:paraId="02F09C9E" w14:textId="77777777" w:rsidR="00AE2C28" w:rsidRPr="004826D1" w:rsidRDefault="00AE2C28" w:rsidP="00987C4A">
            <w:pPr>
              <w:rPr>
                <w:rFonts w:eastAsia="Calibri"/>
                <w:szCs w:val="24"/>
              </w:rPr>
            </w:pPr>
            <w:r w:rsidRPr="004826D1">
              <w:rPr>
                <w:rFonts w:eastAsia="Calibri"/>
                <w:szCs w:val="24"/>
              </w:rPr>
              <w:t>BEMIP</w:t>
            </w:r>
          </w:p>
        </w:tc>
        <w:tc>
          <w:tcPr>
            <w:tcW w:w="8647" w:type="dxa"/>
            <w:tcMar>
              <w:left w:w="28" w:type="dxa"/>
              <w:right w:w="28" w:type="dxa"/>
            </w:tcMar>
            <w:vAlign w:val="center"/>
          </w:tcPr>
          <w:p w14:paraId="63B506BA" w14:textId="77777777" w:rsidR="00AE2C28" w:rsidRPr="004826D1" w:rsidRDefault="00AE2C28" w:rsidP="00987C4A">
            <w:pPr>
              <w:rPr>
                <w:rFonts w:eastAsia="Calibri"/>
                <w:szCs w:val="24"/>
              </w:rPr>
            </w:pPr>
            <w:r w:rsidRPr="004826D1">
              <w:t>Baltijas enerģijas tirgus integrācijas plāns</w:t>
            </w:r>
          </w:p>
        </w:tc>
      </w:tr>
      <w:tr w:rsidR="00AE2C28" w:rsidRPr="004826D1" w14:paraId="0A3DF1D4" w14:textId="77777777" w:rsidTr="00987C4A">
        <w:trPr>
          <w:trHeight w:val="278"/>
          <w:jc w:val="center"/>
        </w:trPr>
        <w:tc>
          <w:tcPr>
            <w:tcW w:w="1271" w:type="dxa"/>
            <w:tcMar>
              <w:left w:w="28" w:type="dxa"/>
              <w:right w:w="28" w:type="dxa"/>
            </w:tcMar>
            <w:vAlign w:val="center"/>
          </w:tcPr>
          <w:p w14:paraId="720F34B7" w14:textId="77777777" w:rsidR="00AE2C28" w:rsidRPr="004826D1" w:rsidRDefault="00AE2C28" w:rsidP="00987C4A">
            <w:pPr>
              <w:rPr>
                <w:rFonts w:eastAsia="Calibri"/>
                <w:szCs w:val="24"/>
              </w:rPr>
            </w:pPr>
            <w:r w:rsidRPr="004826D1">
              <w:rPr>
                <w:rFonts w:eastAsia="Calibri"/>
                <w:szCs w:val="24"/>
              </w:rPr>
              <w:t>CO</w:t>
            </w:r>
            <w:r w:rsidRPr="004826D1">
              <w:rPr>
                <w:rFonts w:eastAsia="Calibri"/>
                <w:szCs w:val="24"/>
                <w:vertAlign w:val="subscript"/>
              </w:rPr>
              <w:t>2</w:t>
            </w:r>
          </w:p>
        </w:tc>
        <w:tc>
          <w:tcPr>
            <w:tcW w:w="8647" w:type="dxa"/>
            <w:tcMar>
              <w:left w:w="28" w:type="dxa"/>
              <w:right w:w="28" w:type="dxa"/>
            </w:tcMar>
            <w:vAlign w:val="center"/>
          </w:tcPr>
          <w:p w14:paraId="4C6643A5" w14:textId="77777777" w:rsidR="00AE2C28" w:rsidRPr="004826D1" w:rsidRDefault="00AE2C28" w:rsidP="00987C4A">
            <w:pPr>
              <w:rPr>
                <w:rFonts w:eastAsia="Calibri"/>
                <w:szCs w:val="24"/>
              </w:rPr>
            </w:pPr>
            <w:r w:rsidRPr="004826D1">
              <w:rPr>
                <w:rFonts w:eastAsia="Calibri"/>
                <w:szCs w:val="24"/>
              </w:rPr>
              <w:t>Oglekļa dioksīds</w:t>
            </w:r>
          </w:p>
        </w:tc>
      </w:tr>
      <w:tr w:rsidR="00AE2C28" w:rsidRPr="004826D1" w14:paraId="01AC8492" w14:textId="77777777" w:rsidTr="00987C4A">
        <w:trPr>
          <w:trHeight w:val="278"/>
          <w:jc w:val="center"/>
        </w:trPr>
        <w:tc>
          <w:tcPr>
            <w:tcW w:w="1271" w:type="dxa"/>
            <w:tcMar>
              <w:left w:w="28" w:type="dxa"/>
              <w:right w:w="28" w:type="dxa"/>
            </w:tcMar>
            <w:vAlign w:val="center"/>
          </w:tcPr>
          <w:p w14:paraId="0573002D" w14:textId="77777777" w:rsidR="00AE2C28" w:rsidRPr="004826D1" w:rsidRDefault="00AE2C28" w:rsidP="00987C4A">
            <w:pPr>
              <w:rPr>
                <w:rFonts w:eastAsia="Calibri"/>
                <w:szCs w:val="24"/>
              </w:rPr>
            </w:pPr>
            <w:r w:rsidRPr="004826D1">
              <w:rPr>
                <w:rFonts w:eastAsia="Calibri"/>
                <w:szCs w:val="24"/>
              </w:rPr>
              <w:t>CSA</w:t>
            </w:r>
          </w:p>
        </w:tc>
        <w:tc>
          <w:tcPr>
            <w:tcW w:w="8647" w:type="dxa"/>
            <w:tcMar>
              <w:left w:w="28" w:type="dxa"/>
              <w:right w:w="28" w:type="dxa"/>
            </w:tcMar>
            <w:vAlign w:val="center"/>
          </w:tcPr>
          <w:p w14:paraId="27DA6DA1" w14:textId="77777777" w:rsidR="00AE2C28" w:rsidRPr="004826D1" w:rsidRDefault="00AE2C28" w:rsidP="00987C4A">
            <w:pPr>
              <w:rPr>
                <w:rFonts w:eastAsia="Calibri"/>
                <w:szCs w:val="24"/>
              </w:rPr>
            </w:pPr>
            <w:r w:rsidRPr="004826D1">
              <w:rPr>
                <w:rFonts w:eastAsia="Calibri"/>
                <w:szCs w:val="24"/>
              </w:rPr>
              <w:t>Centrālā siltumapgāde – siltumavotu, pārvades un sadales siltumtīklu un siltumenerģijas lietotāju kopums, kas saskaņoti ražo, pārveido, pārvada, sadala un patērē siltumenerģiju (Enerģētikas likums)</w:t>
            </w:r>
          </w:p>
        </w:tc>
      </w:tr>
      <w:tr w:rsidR="00AE2C28" w:rsidRPr="004826D1" w14:paraId="06281B4D" w14:textId="77777777" w:rsidTr="00987C4A">
        <w:trPr>
          <w:trHeight w:val="278"/>
          <w:jc w:val="center"/>
        </w:trPr>
        <w:tc>
          <w:tcPr>
            <w:tcW w:w="1271" w:type="dxa"/>
            <w:tcMar>
              <w:left w:w="28" w:type="dxa"/>
              <w:right w:w="28" w:type="dxa"/>
            </w:tcMar>
            <w:vAlign w:val="center"/>
            <w:hideMark/>
          </w:tcPr>
          <w:p w14:paraId="526688AA" w14:textId="77777777" w:rsidR="00AE2C28" w:rsidRPr="004826D1" w:rsidRDefault="00AE2C28" w:rsidP="00987C4A">
            <w:pPr>
              <w:rPr>
                <w:rFonts w:eastAsia="Calibri"/>
                <w:szCs w:val="24"/>
              </w:rPr>
            </w:pPr>
            <w:r w:rsidRPr="004826D1">
              <w:rPr>
                <w:rFonts w:eastAsia="Calibri"/>
                <w:szCs w:val="24"/>
              </w:rPr>
              <w:t>CSP</w:t>
            </w:r>
          </w:p>
        </w:tc>
        <w:tc>
          <w:tcPr>
            <w:tcW w:w="8647" w:type="dxa"/>
            <w:tcMar>
              <w:left w:w="28" w:type="dxa"/>
              <w:right w:w="28" w:type="dxa"/>
            </w:tcMar>
            <w:vAlign w:val="center"/>
            <w:hideMark/>
          </w:tcPr>
          <w:p w14:paraId="4295C15E" w14:textId="77777777" w:rsidR="00AE2C28" w:rsidRPr="004826D1" w:rsidRDefault="00AE2C28" w:rsidP="00987C4A">
            <w:pPr>
              <w:rPr>
                <w:rFonts w:eastAsia="Calibri"/>
                <w:szCs w:val="24"/>
              </w:rPr>
            </w:pPr>
            <w:r w:rsidRPr="004826D1">
              <w:rPr>
                <w:rFonts w:eastAsia="Calibri"/>
                <w:szCs w:val="24"/>
              </w:rPr>
              <w:t>Centrālā statistikas pārvalde</w:t>
            </w:r>
          </w:p>
        </w:tc>
      </w:tr>
      <w:tr w:rsidR="00AE2C28" w:rsidRPr="004826D1" w14:paraId="4591FB45" w14:textId="77777777" w:rsidTr="00987C4A">
        <w:trPr>
          <w:trHeight w:val="278"/>
          <w:jc w:val="center"/>
        </w:trPr>
        <w:tc>
          <w:tcPr>
            <w:tcW w:w="1271" w:type="dxa"/>
            <w:tcMar>
              <w:left w:w="28" w:type="dxa"/>
              <w:right w:w="28" w:type="dxa"/>
            </w:tcMar>
            <w:vAlign w:val="center"/>
          </w:tcPr>
          <w:p w14:paraId="4BAC1EE1" w14:textId="77777777" w:rsidR="00AE2C28" w:rsidRPr="004826D1" w:rsidRDefault="00AE2C28" w:rsidP="00987C4A">
            <w:pPr>
              <w:rPr>
                <w:rFonts w:eastAsia="Calibri"/>
                <w:szCs w:val="24"/>
              </w:rPr>
            </w:pPr>
            <w:r w:rsidRPr="004826D1">
              <w:rPr>
                <w:rFonts w:eastAsia="Calibri"/>
                <w:szCs w:val="24"/>
              </w:rPr>
              <w:t>DRN</w:t>
            </w:r>
          </w:p>
        </w:tc>
        <w:tc>
          <w:tcPr>
            <w:tcW w:w="8647" w:type="dxa"/>
            <w:tcMar>
              <w:left w:w="28" w:type="dxa"/>
              <w:right w:w="28" w:type="dxa"/>
            </w:tcMar>
            <w:vAlign w:val="center"/>
          </w:tcPr>
          <w:p w14:paraId="252989A3" w14:textId="77777777" w:rsidR="00AE2C28" w:rsidRPr="004826D1" w:rsidRDefault="00AE2C28" w:rsidP="00987C4A">
            <w:pPr>
              <w:rPr>
                <w:rFonts w:eastAsia="Calibri"/>
                <w:szCs w:val="24"/>
              </w:rPr>
            </w:pPr>
            <w:r w:rsidRPr="004826D1">
              <w:rPr>
                <w:rFonts w:eastAsia="Calibri"/>
                <w:szCs w:val="24"/>
              </w:rPr>
              <w:t>Dabas resursu nodoklis</w:t>
            </w:r>
          </w:p>
        </w:tc>
      </w:tr>
      <w:tr w:rsidR="00AE2C28" w:rsidRPr="004826D1" w14:paraId="00363A75" w14:textId="77777777" w:rsidTr="00987C4A">
        <w:trPr>
          <w:trHeight w:val="278"/>
          <w:jc w:val="center"/>
        </w:trPr>
        <w:tc>
          <w:tcPr>
            <w:tcW w:w="1271" w:type="dxa"/>
            <w:tcMar>
              <w:left w:w="28" w:type="dxa"/>
              <w:right w:w="28" w:type="dxa"/>
            </w:tcMar>
            <w:vAlign w:val="center"/>
          </w:tcPr>
          <w:p w14:paraId="0C6163BB" w14:textId="77777777" w:rsidR="00AE2C28" w:rsidRPr="004826D1" w:rsidRDefault="00AE2C28" w:rsidP="00987C4A">
            <w:pPr>
              <w:rPr>
                <w:rFonts w:eastAsia="Calibri"/>
                <w:szCs w:val="24"/>
              </w:rPr>
            </w:pPr>
            <w:bookmarkStart w:id="2" w:name="_Hlk531553642"/>
            <w:r w:rsidRPr="004826D1">
              <w:rPr>
                <w:rFonts w:eastAsia="Calibri"/>
                <w:szCs w:val="24"/>
              </w:rPr>
              <w:t>EAP2020</w:t>
            </w:r>
          </w:p>
        </w:tc>
        <w:tc>
          <w:tcPr>
            <w:tcW w:w="8647" w:type="dxa"/>
            <w:tcMar>
              <w:left w:w="28" w:type="dxa"/>
              <w:right w:w="28" w:type="dxa"/>
            </w:tcMar>
            <w:vAlign w:val="center"/>
          </w:tcPr>
          <w:p w14:paraId="0F3BB25C" w14:textId="77777777" w:rsidR="00AE2C28" w:rsidRPr="004826D1" w:rsidRDefault="00AE2C28" w:rsidP="00987C4A">
            <w:pPr>
              <w:rPr>
                <w:rFonts w:eastAsia="Calibri"/>
                <w:szCs w:val="24"/>
              </w:rPr>
            </w:pPr>
            <w:r w:rsidRPr="004826D1">
              <w:rPr>
                <w:rFonts w:eastAsia="Calibri"/>
                <w:szCs w:val="24"/>
              </w:rPr>
              <w:t>Enerģētikas attīstības pamatnostādnes 2016.–2020.gadam</w:t>
            </w:r>
          </w:p>
        </w:tc>
      </w:tr>
      <w:bookmarkEnd w:id="2"/>
      <w:tr w:rsidR="00AE2C28" w:rsidRPr="004826D1" w14:paraId="59FF8166" w14:textId="77777777" w:rsidTr="00987C4A">
        <w:trPr>
          <w:trHeight w:val="264"/>
          <w:jc w:val="center"/>
        </w:trPr>
        <w:tc>
          <w:tcPr>
            <w:tcW w:w="1271" w:type="dxa"/>
            <w:tcMar>
              <w:left w:w="28" w:type="dxa"/>
              <w:right w:w="28" w:type="dxa"/>
            </w:tcMar>
            <w:vAlign w:val="center"/>
            <w:hideMark/>
          </w:tcPr>
          <w:p w14:paraId="3B6D5579" w14:textId="77777777" w:rsidR="00AE2C28" w:rsidRPr="004826D1" w:rsidRDefault="00AE2C28" w:rsidP="00987C4A">
            <w:pPr>
              <w:rPr>
                <w:rFonts w:eastAsia="Calibri"/>
                <w:szCs w:val="24"/>
              </w:rPr>
            </w:pPr>
            <w:r w:rsidRPr="004826D1">
              <w:rPr>
                <w:rFonts w:eastAsia="Calibri"/>
                <w:szCs w:val="24"/>
              </w:rPr>
              <w:t>EK</w:t>
            </w:r>
          </w:p>
        </w:tc>
        <w:tc>
          <w:tcPr>
            <w:tcW w:w="8647" w:type="dxa"/>
            <w:tcMar>
              <w:left w:w="28" w:type="dxa"/>
              <w:right w:w="28" w:type="dxa"/>
            </w:tcMar>
            <w:vAlign w:val="center"/>
            <w:hideMark/>
          </w:tcPr>
          <w:p w14:paraId="6C74DAEC" w14:textId="77777777" w:rsidR="00AE2C28" w:rsidRPr="004826D1" w:rsidRDefault="00AE2C28" w:rsidP="00987C4A">
            <w:pPr>
              <w:rPr>
                <w:rFonts w:eastAsia="Calibri"/>
                <w:szCs w:val="24"/>
              </w:rPr>
            </w:pPr>
            <w:r w:rsidRPr="004826D1">
              <w:rPr>
                <w:rFonts w:eastAsia="Calibri"/>
                <w:szCs w:val="24"/>
              </w:rPr>
              <w:t>Eiropas Komisija</w:t>
            </w:r>
          </w:p>
        </w:tc>
      </w:tr>
      <w:tr w:rsidR="00AE2C28" w:rsidRPr="004826D1" w14:paraId="11E02DD8" w14:textId="77777777" w:rsidTr="00987C4A">
        <w:trPr>
          <w:trHeight w:val="259"/>
          <w:jc w:val="center"/>
        </w:trPr>
        <w:tc>
          <w:tcPr>
            <w:tcW w:w="1271" w:type="dxa"/>
            <w:tcMar>
              <w:left w:w="28" w:type="dxa"/>
              <w:right w:w="28" w:type="dxa"/>
            </w:tcMar>
            <w:vAlign w:val="center"/>
            <w:hideMark/>
          </w:tcPr>
          <w:p w14:paraId="3A141506" w14:textId="77777777" w:rsidR="00AE2C28" w:rsidRPr="004826D1" w:rsidRDefault="00AE2C28" w:rsidP="00987C4A">
            <w:pPr>
              <w:rPr>
                <w:rFonts w:eastAsia="Calibri"/>
                <w:szCs w:val="24"/>
              </w:rPr>
            </w:pPr>
            <w:r w:rsidRPr="004826D1">
              <w:rPr>
                <w:rFonts w:eastAsia="Calibri"/>
                <w:szCs w:val="24"/>
              </w:rPr>
              <w:t>EKII</w:t>
            </w:r>
          </w:p>
        </w:tc>
        <w:tc>
          <w:tcPr>
            <w:tcW w:w="8647" w:type="dxa"/>
            <w:tcMar>
              <w:left w:w="28" w:type="dxa"/>
              <w:right w:w="28" w:type="dxa"/>
            </w:tcMar>
            <w:vAlign w:val="center"/>
            <w:hideMark/>
          </w:tcPr>
          <w:p w14:paraId="2F776165" w14:textId="77777777" w:rsidR="00AE2C28" w:rsidRPr="004826D1" w:rsidRDefault="00AE2C28" w:rsidP="00987C4A">
            <w:pPr>
              <w:rPr>
                <w:rFonts w:eastAsia="Calibri"/>
                <w:szCs w:val="24"/>
              </w:rPr>
            </w:pPr>
            <w:r w:rsidRPr="004826D1">
              <w:rPr>
                <w:szCs w:val="24"/>
              </w:rPr>
              <w:t>Emisijas kvotu izsolīšanas instruments</w:t>
            </w:r>
          </w:p>
        </w:tc>
      </w:tr>
      <w:tr w:rsidR="00AE2C28" w:rsidRPr="004826D1" w14:paraId="2517BBA0" w14:textId="77777777" w:rsidTr="00987C4A">
        <w:trPr>
          <w:trHeight w:val="259"/>
          <w:jc w:val="center"/>
        </w:trPr>
        <w:tc>
          <w:tcPr>
            <w:tcW w:w="1271" w:type="dxa"/>
            <w:tcMar>
              <w:left w:w="28" w:type="dxa"/>
              <w:right w:w="28" w:type="dxa"/>
            </w:tcMar>
            <w:vAlign w:val="center"/>
            <w:hideMark/>
          </w:tcPr>
          <w:p w14:paraId="604B7C40" w14:textId="77777777" w:rsidR="00AE2C28" w:rsidRPr="004826D1" w:rsidRDefault="00AE2C28" w:rsidP="00987C4A">
            <w:pPr>
              <w:rPr>
                <w:rFonts w:eastAsia="Calibri"/>
                <w:szCs w:val="24"/>
              </w:rPr>
            </w:pPr>
            <w:r w:rsidRPr="004826D1">
              <w:rPr>
                <w:rFonts w:eastAsia="Calibri"/>
                <w:szCs w:val="24"/>
              </w:rPr>
              <w:t>EM</w:t>
            </w:r>
          </w:p>
        </w:tc>
        <w:tc>
          <w:tcPr>
            <w:tcW w:w="8647" w:type="dxa"/>
            <w:tcMar>
              <w:left w:w="28" w:type="dxa"/>
              <w:right w:w="28" w:type="dxa"/>
            </w:tcMar>
            <w:vAlign w:val="center"/>
            <w:hideMark/>
          </w:tcPr>
          <w:p w14:paraId="4AEA99B6" w14:textId="77777777" w:rsidR="00AE2C28" w:rsidRPr="004826D1" w:rsidRDefault="00AE2C28" w:rsidP="00987C4A">
            <w:pPr>
              <w:rPr>
                <w:rFonts w:eastAsia="Calibri"/>
                <w:szCs w:val="24"/>
              </w:rPr>
            </w:pPr>
            <w:r w:rsidRPr="004826D1">
              <w:rPr>
                <w:rFonts w:eastAsia="Calibri"/>
                <w:szCs w:val="24"/>
              </w:rPr>
              <w:t>Ekonomikas ministrija</w:t>
            </w:r>
          </w:p>
        </w:tc>
      </w:tr>
      <w:tr w:rsidR="00AE2C28" w:rsidRPr="004826D1" w14:paraId="5C7A0E6E" w14:textId="77777777" w:rsidTr="00987C4A">
        <w:trPr>
          <w:trHeight w:val="278"/>
          <w:jc w:val="center"/>
        </w:trPr>
        <w:tc>
          <w:tcPr>
            <w:tcW w:w="1271" w:type="dxa"/>
            <w:tcMar>
              <w:left w:w="28" w:type="dxa"/>
              <w:right w:w="28" w:type="dxa"/>
            </w:tcMar>
            <w:vAlign w:val="center"/>
          </w:tcPr>
          <w:p w14:paraId="1A85C12B" w14:textId="77777777" w:rsidR="00AE2C28" w:rsidRPr="004826D1" w:rsidRDefault="00AE2C28" w:rsidP="00987C4A">
            <w:pPr>
              <w:rPr>
                <w:rFonts w:eastAsia="Calibri"/>
                <w:szCs w:val="24"/>
              </w:rPr>
            </w:pPr>
            <w:r w:rsidRPr="004826D1">
              <w:rPr>
                <w:rFonts w:eastAsia="Calibri"/>
                <w:szCs w:val="24"/>
              </w:rPr>
              <w:t>EnS</w:t>
            </w:r>
          </w:p>
        </w:tc>
        <w:tc>
          <w:tcPr>
            <w:tcW w:w="8647" w:type="dxa"/>
            <w:tcMar>
              <w:left w:w="28" w:type="dxa"/>
              <w:right w:w="28" w:type="dxa"/>
            </w:tcMar>
            <w:vAlign w:val="center"/>
          </w:tcPr>
          <w:p w14:paraId="18505282" w14:textId="77777777" w:rsidR="00AE2C28" w:rsidRPr="004826D1" w:rsidRDefault="00AE2C28" w:rsidP="00987C4A">
            <w:pPr>
              <w:rPr>
                <w:rFonts w:eastAsia="Calibri"/>
                <w:szCs w:val="24"/>
              </w:rPr>
            </w:pPr>
            <w:r w:rsidRPr="004826D1">
              <w:rPr>
                <w:rFonts w:eastAsia="Calibri"/>
                <w:szCs w:val="24"/>
              </w:rPr>
              <w:t>Enerģētikas savienība</w:t>
            </w:r>
          </w:p>
        </w:tc>
      </w:tr>
      <w:tr w:rsidR="00AE2C28" w:rsidRPr="004826D1" w14:paraId="17AA91EC" w14:textId="77777777" w:rsidTr="00987C4A">
        <w:trPr>
          <w:trHeight w:val="278"/>
          <w:jc w:val="center"/>
        </w:trPr>
        <w:tc>
          <w:tcPr>
            <w:tcW w:w="1271" w:type="dxa"/>
            <w:tcMar>
              <w:left w:w="28" w:type="dxa"/>
              <w:right w:w="28" w:type="dxa"/>
            </w:tcMar>
            <w:vAlign w:val="center"/>
          </w:tcPr>
          <w:p w14:paraId="51887D8F" w14:textId="77777777" w:rsidR="00AE2C28" w:rsidRPr="004826D1" w:rsidRDefault="00AE2C28" w:rsidP="00987C4A">
            <w:pPr>
              <w:rPr>
                <w:rFonts w:eastAsia="Calibri"/>
                <w:szCs w:val="24"/>
              </w:rPr>
            </w:pPr>
            <w:r w:rsidRPr="004826D1">
              <w:rPr>
                <w:rFonts w:eastAsia="Calibri"/>
                <w:szCs w:val="24"/>
              </w:rPr>
              <w:t>EPS</w:t>
            </w:r>
          </w:p>
        </w:tc>
        <w:tc>
          <w:tcPr>
            <w:tcW w:w="8647" w:type="dxa"/>
            <w:tcMar>
              <w:left w:w="28" w:type="dxa"/>
              <w:right w:w="28" w:type="dxa"/>
            </w:tcMar>
            <w:vAlign w:val="center"/>
          </w:tcPr>
          <w:p w14:paraId="7C45AA7E" w14:textId="77777777" w:rsidR="00AE2C28" w:rsidRPr="004826D1" w:rsidRDefault="00AE2C28" w:rsidP="00987C4A">
            <w:pPr>
              <w:rPr>
                <w:rFonts w:eastAsia="Calibri"/>
                <w:szCs w:val="24"/>
              </w:rPr>
            </w:pPr>
            <w:r w:rsidRPr="004826D1">
              <w:rPr>
                <w:rFonts w:eastAsia="Calibri"/>
                <w:szCs w:val="24"/>
              </w:rPr>
              <w:t>Energoefektivitātes pienākumu shēma</w:t>
            </w:r>
          </w:p>
        </w:tc>
      </w:tr>
      <w:tr w:rsidR="00AE2C28" w:rsidRPr="004826D1" w14:paraId="3D611266" w14:textId="77777777" w:rsidTr="00987C4A">
        <w:trPr>
          <w:trHeight w:val="278"/>
          <w:jc w:val="center"/>
        </w:trPr>
        <w:tc>
          <w:tcPr>
            <w:tcW w:w="1271" w:type="dxa"/>
            <w:tcMar>
              <w:left w:w="28" w:type="dxa"/>
              <w:right w:w="28" w:type="dxa"/>
            </w:tcMar>
            <w:vAlign w:val="center"/>
          </w:tcPr>
          <w:p w14:paraId="05ACBED0" w14:textId="77777777" w:rsidR="00AE2C28" w:rsidRPr="004826D1" w:rsidRDefault="00AE2C28" w:rsidP="00987C4A">
            <w:pPr>
              <w:rPr>
                <w:rFonts w:eastAsia="Calibri"/>
                <w:szCs w:val="24"/>
              </w:rPr>
            </w:pPr>
            <w:r w:rsidRPr="004826D1">
              <w:rPr>
                <w:rFonts w:eastAsia="Calibri"/>
                <w:szCs w:val="24"/>
              </w:rPr>
              <w:t>ERAF</w:t>
            </w:r>
          </w:p>
        </w:tc>
        <w:tc>
          <w:tcPr>
            <w:tcW w:w="8647" w:type="dxa"/>
            <w:tcMar>
              <w:left w:w="28" w:type="dxa"/>
              <w:right w:w="28" w:type="dxa"/>
            </w:tcMar>
            <w:vAlign w:val="center"/>
          </w:tcPr>
          <w:p w14:paraId="4F20EE41" w14:textId="77777777" w:rsidR="00AE2C28" w:rsidRPr="004826D1" w:rsidRDefault="00AE2C28" w:rsidP="00987C4A">
            <w:pPr>
              <w:rPr>
                <w:rFonts w:eastAsia="Calibri"/>
                <w:szCs w:val="24"/>
              </w:rPr>
            </w:pPr>
            <w:r w:rsidRPr="004826D1">
              <w:rPr>
                <w:szCs w:val="24"/>
              </w:rPr>
              <w:t>Eiropas reģionālās attīstības fonds</w:t>
            </w:r>
          </w:p>
        </w:tc>
      </w:tr>
      <w:tr w:rsidR="00AE2C28" w:rsidRPr="004826D1" w14:paraId="3BDDCC40" w14:textId="77777777" w:rsidTr="00987C4A">
        <w:trPr>
          <w:trHeight w:val="278"/>
          <w:jc w:val="center"/>
        </w:trPr>
        <w:tc>
          <w:tcPr>
            <w:tcW w:w="1271" w:type="dxa"/>
            <w:tcMar>
              <w:left w:w="28" w:type="dxa"/>
              <w:right w:w="28" w:type="dxa"/>
            </w:tcMar>
            <w:vAlign w:val="center"/>
            <w:hideMark/>
          </w:tcPr>
          <w:p w14:paraId="500BA447" w14:textId="77777777" w:rsidR="00AE2C28" w:rsidRPr="004826D1" w:rsidRDefault="00AE2C28" w:rsidP="00987C4A">
            <w:pPr>
              <w:rPr>
                <w:rFonts w:eastAsia="Calibri"/>
                <w:szCs w:val="24"/>
              </w:rPr>
            </w:pPr>
            <w:r w:rsidRPr="004826D1">
              <w:rPr>
                <w:rFonts w:eastAsia="Calibri"/>
                <w:szCs w:val="24"/>
              </w:rPr>
              <w:t>ES</w:t>
            </w:r>
          </w:p>
        </w:tc>
        <w:tc>
          <w:tcPr>
            <w:tcW w:w="8647" w:type="dxa"/>
            <w:tcMar>
              <w:left w:w="28" w:type="dxa"/>
              <w:right w:w="28" w:type="dxa"/>
            </w:tcMar>
            <w:vAlign w:val="center"/>
            <w:hideMark/>
          </w:tcPr>
          <w:p w14:paraId="69AA0DBC" w14:textId="77777777" w:rsidR="00AE2C28" w:rsidRPr="004826D1" w:rsidRDefault="00AE2C28" w:rsidP="00987C4A">
            <w:pPr>
              <w:rPr>
                <w:rFonts w:eastAsia="Calibri"/>
                <w:szCs w:val="24"/>
              </w:rPr>
            </w:pPr>
            <w:r w:rsidRPr="004826D1">
              <w:rPr>
                <w:rFonts w:eastAsia="Calibri"/>
                <w:szCs w:val="24"/>
              </w:rPr>
              <w:t>Eiropas Savienība</w:t>
            </w:r>
          </w:p>
        </w:tc>
      </w:tr>
      <w:tr w:rsidR="00AE2C28" w:rsidRPr="004826D1" w14:paraId="2DD922C5" w14:textId="77777777" w:rsidTr="00987C4A">
        <w:trPr>
          <w:trHeight w:val="278"/>
          <w:jc w:val="center"/>
        </w:trPr>
        <w:tc>
          <w:tcPr>
            <w:tcW w:w="1271" w:type="dxa"/>
            <w:shd w:val="clear" w:color="auto" w:fill="auto"/>
            <w:tcMar>
              <w:left w:w="28" w:type="dxa"/>
              <w:right w:w="28" w:type="dxa"/>
            </w:tcMar>
            <w:vAlign w:val="center"/>
          </w:tcPr>
          <w:p w14:paraId="46F17CC1" w14:textId="77777777" w:rsidR="00AE2C28" w:rsidRPr="004826D1" w:rsidRDefault="00AE2C28" w:rsidP="00987C4A">
            <w:pPr>
              <w:rPr>
                <w:rFonts w:eastAsia="Calibri"/>
                <w:szCs w:val="24"/>
              </w:rPr>
            </w:pPr>
            <w:r w:rsidRPr="004826D1">
              <w:rPr>
                <w:rFonts w:eastAsia="Calibri"/>
                <w:szCs w:val="24"/>
              </w:rPr>
              <w:t>ESF</w:t>
            </w:r>
          </w:p>
        </w:tc>
        <w:tc>
          <w:tcPr>
            <w:tcW w:w="8647" w:type="dxa"/>
            <w:shd w:val="clear" w:color="auto" w:fill="auto"/>
            <w:tcMar>
              <w:left w:w="28" w:type="dxa"/>
              <w:right w:w="28" w:type="dxa"/>
            </w:tcMar>
            <w:vAlign w:val="center"/>
          </w:tcPr>
          <w:p w14:paraId="394BD939" w14:textId="77777777" w:rsidR="00AE2C28" w:rsidRPr="004826D1" w:rsidRDefault="00AE2C28" w:rsidP="00987C4A">
            <w:pPr>
              <w:rPr>
                <w:rFonts w:eastAsia="Calibri"/>
                <w:szCs w:val="24"/>
              </w:rPr>
            </w:pPr>
            <w:r w:rsidRPr="004826D1">
              <w:rPr>
                <w:rFonts w:eastAsia="Calibri"/>
                <w:szCs w:val="24"/>
              </w:rPr>
              <w:t>Eiropas Sociālais fonds</w:t>
            </w:r>
          </w:p>
        </w:tc>
      </w:tr>
      <w:tr w:rsidR="00AE2C28" w:rsidRPr="004826D1" w14:paraId="04257DC6" w14:textId="77777777" w:rsidTr="00987C4A">
        <w:trPr>
          <w:trHeight w:val="278"/>
          <w:jc w:val="center"/>
        </w:trPr>
        <w:tc>
          <w:tcPr>
            <w:tcW w:w="1271" w:type="dxa"/>
            <w:shd w:val="clear" w:color="auto" w:fill="auto"/>
            <w:tcMar>
              <w:left w:w="28" w:type="dxa"/>
              <w:right w:w="28" w:type="dxa"/>
            </w:tcMar>
            <w:vAlign w:val="center"/>
          </w:tcPr>
          <w:p w14:paraId="7E17A8D8" w14:textId="77777777" w:rsidR="00AE2C28" w:rsidRPr="004826D1" w:rsidRDefault="00AE2C28" w:rsidP="00987C4A">
            <w:pPr>
              <w:rPr>
                <w:rFonts w:eastAsia="Calibri"/>
                <w:szCs w:val="24"/>
              </w:rPr>
            </w:pPr>
            <w:r w:rsidRPr="004826D1">
              <w:rPr>
                <w:rFonts w:eastAsia="Calibri"/>
                <w:szCs w:val="24"/>
              </w:rPr>
              <w:t>ESKO</w:t>
            </w:r>
          </w:p>
        </w:tc>
        <w:tc>
          <w:tcPr>
            <w:tcW w:w="8647" w:type="dxa"/>
            <w:shd w:val="clear" w:color="auto" w:fill="auto"/>
            <w:tcMar>
              <w:left w:w="28" w:type="dxa"/>
              <w:right w:w="28" w:type="dxa"/>
            </w:tcMar>
            <w:vAlign w:val="center"/>
          </w:tcPr>
          <w:p w14:paraId="6CB55908" w14:textId="77777777" w:rsidR="00AE2C28" w:rsidRPr="004826D1" w:rsidRDefault="00AE2C28" w:rsidP="00987C4A">
            <w:pPr>
              <w:rPr>
                <w:rFonts w:eastAsia="Calibri"/>
                <w:szCs w:val="24"/>
              </w:rPr>
            </w:pPr>
            <w:r w:rsidRPr="004826D1">
              <w:rPr>
                <w:rFonts w:eastAsia="Calibri"/>
                <w:szCs w:val="24"/>
              </w:rPr>
              <w:t>Energoservisa pakalpojumi</w:t>
            </w:r>
          </w:p>
        </w:tc>
      </w:tr>
      <w:tr w:rsidR="00AE2C28" w:rsidRPr="004826D1" w14:paraId="6375F20E" w14:textId="77777777" w:rsidTr="00987C4A">
        <w:trPr>
          <w:trHeight w:val="278"/>
          <w:jc w:val="center"/>
        </w:trPr>
        <w:tc>
          <w:tcPr>
            <w:tcW w:w="1271" w:type="dxa"/>
            <w:tcMar>
              <w:left w:w="28" w:type="dxa"/>
              <w:right w:w="28" w:type="dxa"/>
            </w:tcMar>
            <w:vAlign w:val="center"/>
          </w:tcPr>
          <w:p w14:paraId="2D56BDC4" w14:textId="77777777" w:rsidR="00AE2C28" w:rsidRPr="004826D1" w:rsidRDefault="00AE2C28" w:rsidP="00987C4A">
            <w:pPr>
              <w:rPr>
                <w:rFonts w:eastAsia="Calibri"/>
                <w:szCs w:val="24"/>
              </w:rPr>
            </w:pPr>
            <w:r w:rsidRPr="004826D1">
              <w:rPr>
                <w:rFonts w:eastAsia="Calibri"/>
                <w:szCs w:val="24"/>
              </w:rPr>
              <w:t>ETL</w:t>
            </w:r>
          </w:p>
        </w:tc>
        <w:tc>
          <w:tcPr>
            <w:tcW w:w="8647" w:type="dxa"/>
            <w:tcMar>
              <w:left w:w="28" w:type="dxa"/>
              <w:right w:w="28" w:type="dxa"/>
            </w:tcMar>
            <w:vAlign w:val="center"/>
          </w:tcPr>
          <w:p w14:paraId="73BAE1D1" w14:textId="77777777" w:rsidR="00AE2C28" w:rsidRPr="004826D1" w:rsidRDefault="00AE2C28" w:rsidP="00987C4A">
            <w:pPr>
              <w:rPr>
                <w:rFonts w:eastAsia="Calibri"/>
                <w:szCs w:val="24"/>
              </w:rPr>
            </w:pPr>
            <w:r w:rsidRPr="004826D1">
              <w:rPr>
                <w:rFonts w:eastAsia="Calibri"/>
                <w:szCs w:val="24"/>
              </w:rPr>
              <w:t>Elektrotransportlīdzeklis</w:t>
            </w:r>
          </w:p>
        </w:tc>
      </w:tr>
      <w:tr w:rsidR="00AE2C28" w:rsidRPr="004826D1" w14:paraId="761D2A76" w14:textId="77777777" w:rsidTr="00987C4A">
        <w:trPr>
          <w:trHeight w:val="278"/>
          <w:jc w:val="center"/>
        </w:trPr>
        <w:tc>
          <w:tcPr>
            <w:tcW w:w="1271" w:type="dxa"/>
            <w:tcMar>
              <w:left w:w="28" w:type="dxa"/>
              <w:right w:w="28" w:type="dxa"/>
            </w:tcMar>
            <w:vAlign w:val="center"/>
            <w:hideMark/>
          </w:tcPr>
          <w:p w14:paraId="3ED3E8EA" w14:textId="77777777" w:rsidR="00AE2C28" w:rsidRPr="004826D1" w:rsidRDefault="00AE2C28" w:rsidP="00987C4A">
            <w:pPr>
              <w:rPr>
                <w:rFonts w:eastAsia="Calibri"/>
                <w:szCs w:val="24"/>
              </w:rPr>
            </w:pPr>
            <w:r w:rsidRPr="004826D1">
              <w:rPr>
                <w:rFonts w:eastAsia="Calibri"/>
                <w:szCs w:val="24"/>
              </w:rPr>
              <w:t>ETS</w:t>
            </w:r>
          </w:p>
        </w:tc>
        <w:tc>
          <w:tcPr>
            <w:tcW w:w="8647" w:type="dxa"/>
            <w:tcMar>
              <w:left w:w="28" w:type="dxa"/>
              <w:right w:w="28" w:type="dxa"/>
            </w:tcMar>
            <w:vAlign w:val="center"/>
            <w:hideMark/>
          </w:tcPr>
          <w:p w14:paraId="629B2D13" w14:textId="77777777" w:rsidR="00AE2C28" w:rsidRPr="004826D1" w:rsidRDefault="00AE2C28" w:rsidP="00987C4A">
            <w:pPr>
              <w:rPr>
                <w:rFonts w:eastAsia="Calibri"/>
                <w:szCs w:val="24"/>
              </w:rPr>
            </w:pPr>
            <w:r w:rsidRPr="004826D1">
              <w:rPr>
                <w:rFonts w:eastAsia="Calibri"/>
                <w:szCs w:val="24"/>
              </w:rPr>
              <w:t>Eiropas Savienības Emisijas kvotu tirdzniecības sistēma</w:t>
            </w:r>
          </w:p>
        </w:tc>
      </w:tr>
      <w:tr w:rsidR="00AE2C28" w:rsidRPr="004826D1" w14:paraId="33BD5972" w14:textId="77777777" w:rsidTr="00987C4A">
        <w:trPr>
          <w:trHeight w:val="278"/>
          <w:jc w:val="center"/>
        </w:trPr>
        <w:tc>
          <w:tcPr>
            <w:tcW w:w="1271" w:type="dxa"/>
            <w:tcMar>
              <w:left w:w="28" w:type="dxa"/>
              <w:right w:w="28" w:type="dxa"/>
            </w:tcMar>
            <w:vAlign w:val="center"/>
          </w:tcPr>
          <w:p w14:paraId="57F2D4AC" w14:textId="77777777" w:rsidR="00AE2C28" w:rsidRPr="004826D1" w:rsidRDefault="00AE2C28" w:rsidP="00987C4A">
            <w:pPr>
              <w:rPr>
                <w:rFonts w:eastAsia="Calibri"/>
                <w:szCs w:val="24"/>
              </w:rPr>
            </w:pPr>
            <w:r w:rsidRPr="004826D1">
              <w:rPr>
                <w:rFonts w:eastAsia="Calibri"/>
                <w:szCs w:val="24"/>
              </w:rPr>
              <w:t>EUROSTAT</w:t>
            </w:r>
          </w:p>
        </w:tc>
        <w:tc>
          <w:tcPr>
            <w:tcW w:w="8647" w:type="dxa"/>
            <w:tcMar>
              <w:left w:w="28" w:type="dxa"/>
              <w:right w:w="28" w:type="dxa"/>
            </w:tcMar>
            <w:vAlign w:val="center"/>
          </w:tcPr>
          <w:p w14:paraId="19D5A23A" w14:textId="77777777" w:rsidR="00AE2C28" w:rsidRPr="004826D1" w:rsidRDefault="00AE2C28" w:rsidP="00987C4A">
            <w:pPr>
              <w:rPr>
                <w:rFonts w:eastAsia="Calibri"/>
                <w:szCs w:val="24"/>
              </w:rPr>
            </w:pPr>
            <w:r w:rsidRPr="004826D1">
              <w:rPr>
                <w:rFonts w:eastAsia="Calibri"/>
                <w:szCs w:val="24"/>
              </w:rPr>
              <w:t>Eiropas Savienības Statistikas birojs</w:t>
            </w:r>
          </w:p>
        </w:tc>
      </w:tr>
      <w:tr w:rsidR="00AE2C28" w:rsidRPr="004826D1" w14:paraId="6F254D21" w14:textId="77777777" w:rsidTr="00987C4A">
        <w:trPr>
          <w:trHeight w:val="278"/>
          <w:jc w:val="center"/>
        </w:trPr>
        <w:tc>
          <w:tcPr>
            <w:tcW w:w="1271" w:type="dxa"/>
            <w:tcMar>
              <w:left w:w="28" w:type="dxa"/>
              <w:right w:w="28" w:type="dxa"/>
            </w:tcMar>
            <w:vAlign w:val="center"/>
            <w:hideMark/>
          </w:tcPr>
          <w:p w14:paraId="021D441B" w14:textId="77777777" w:rsidR="00AE2C28" w:rsidRPr="004826D1" w:rsidRDefault="00AE2C28" w:rsidP="00987C4A">
            <w:pPr>
              <w:rPr>
                <w:rFonts w:eastAsia="Calibri"/>
                <w:szCs w:val="24"/>
              </w:rPr>
            </w:pPr>
            <w:r w:rsidRPr="004826D1">
              <w:rPr>
                <w:rFonts w:eastAsia="Calibri"/>
                <w:szCs w:val="24"/>
              </w:rPr>
              <w:t>EVA</w:t>
            </w:r>
          </w:p>
        </w:tc>
        <w:tc>
          <w:tcPr>
            <w:tcW w:w="8647" w:type="dxa"/>
            <w:tcMar>
              <w:left w:w="28" w:type="dxa"/>
              <w:right w:w="28" w:type="dxa"/>
            </w:tcMar>
            <w:vAlign w:val="center"/>
            <w:hideMark/>
          </w:tcPr>
          <w:p w14:paraId="37CA838B" w14:textId="77777777" w:rsidR="00AE2C28" w:rsidRPr="004826D1" w:rsidRDefault="00AE2C28" w:rsidP="00987C4A">
            <w:pPr>
              <w:rPr>
                <w:rFonts w:eastAsia="Calibri"/>
                <w:szCs w:val="24"/>
              </w:rPr>
            </w:pPr>
            <w:r w:rsidRPr="004826D1">
              <w:rPr>
                <w:rFonts w:eastAsia="Calibri"/>
                <w:szCs w:val="24"/>
              </w:rPr>
              <w:t>Eiropas Vides aģentūra</w:t>
            </w:r>
          </w:p>
        </w:tc>
      </w:tr>
      <w:tr w:rsidR="00AE2C28" w:rsidRPr="004826D1" w14:paraId="636937AC" w14:textId="77777777" w:rsidTr="00987C4A">
        <w:trPr>
          <w:trHeight w:val="278"/>
          <w:jc w:val="center"/>
        </w:trPr>
        <w:tc>
          <w:tcPr>
            <w:tcW w:w="1271" w:type="dxa"/>
            <w:tcMar>
              <w:left w:w="28" w:type="dxa"/>
              <w:right w:w="28" w:type="dxa"/>
            </w:tcMar>
            <w:vAlign w:val="center"/>
          </w:tcPr>
          <w:p w14:paraId="050CCF79" w14:textId="77777777" w:rsidR="00AE2C28" w:rsidRPr="004826D1" w:rsidRDefault="00AE2C28" w:rsidP="00987C4A">
            <w:pPr>
              <w:rPr>
                <w:rFonts w:eastAsia="Calibri"/>
                <w:szCs w:val="24"/>
              </w:rPr>
            </w:pPr>
            <w:r w:rsidRPr="004826D1">
              <w:rPr>
                <w:rFonts w:eastAsia="Calibri"/>
                <w:szCs w:val="24"/>
              </w:rPr>
              <w:t>ĒAIS</w:t>
            </w:r>
          </w:p>
        </w:tc>
        <w:tc>
          <w:tcPr>
            <w:tcW w:w="8647" w:type="dxa"/>
            <w:tcMar>
              <w:left w:w="28" w:type="dxa"/>
              <w:right w:w="28" w:type="dxa"/>
            </w:tcMar>
            <w:vAlign w:val="center"/>
          </w:tcPr>
          <w:p w14:paraId="577FF866" w14:textId="77777777" w:rsidR="00AE2C28" w:rsidRPr="004826D1" w:rsidRDefault="00AE2C28" w:rsidP="00987C4A">
            <w:pPr>
              <w:rPr>
                <w:rFonts w:eastAsia="Calibri"/>
                <w:szCs w:val="24"/>
              </w:rPr>
            </w:pPr>
            <w:r w:rsidRPr="004826D1">
              <w:rPr>
                <w:rFonts w:eastAsia="Calibri"/>
                <w:szCs w:val="24"/>
              </w:rPr>
              <w:t>Ēku atjaunošanas ilgtermiņa stratēģija</w:t>
            </w:r>
          </w:p>
        </w:tc>
      </w:tr>
      <w:tr w:rsidR="00AE2C28" w:rsidRPr="004826D1" w14:paraId="362BD15B" w14:textId="77777777" w:rsidTr="00987C4A">
        <w:trPr>
          <w:trHeight w:val="278"/>
          <w:jc w:val="center"/>
        </w:trPr>
        <w:tc>
          <w:tcPr>
            <w:tcW w:w="1271" w:type="dxa"/>
            <w:tcMar>
              <w:left w:w="28" w:type="dxa"/>
              <w:right w:w="28" w:type="dxa"/>
            </w:tcMar>
            <w:vAlign w:val="center"/>
            <w:hideMark/>
          </w:tcPr>
          <w:p w14:paraId="56899A6C" w14:textId="77777777" w:rsidR="00AE2C28" w:rsidRPr="004826D1" w:rsidRDefault="00AE2C28" w:rsidP="00987C4A">
            <w:pPr>
              <w:rPr>
                <w:rFonts w:eastAsia="Calibri"/>
                <w:szCs w:val="24"/>
              </w:rPr>
            </w:pPr>
            <w:r w:rsidRPr="004826D1">
              <w:rPr>
                <w:rFonts w:eastAsia="Calibri"/>
                <w:szCs w:val="24"/>
              </w:rPr>
              <w:t>FM</w:t>
            </w:r>
          </w:p>
        </w:tc>
        <w:tc>
          <w:tcPr>
            <w:tcW w:w="8647" w:type="dxa"/>
            <w:tcMar>
              <w:left w:w="28" w:type="dxa"/>
              <w:right w:w="28" w:type="dxa"/>
            </w:tcMar>
            <w:vAlign w:val="center"/>
            <w:hideMark/>
          </w:tcPr>
          <w:p w14:paraId="77F6125F" w14:textId="77777777" w:rsidR="00AE2C28" w:rsidRPr="004826D1" w:rsidRDefault="00AE2C28" w:rsidP="00987C4A">
            <w:pPr>
              <w:rPr>
                <w:rFonts w:eastAsia="Calibri"/>
                <w:szCs w:val="24"/>
              </w:rPr>
            </w:pPr>
            <w:r w:rsidRPr="004826D1">
              <w:rPr>
                <w:rFonts w:eastAsia="Calibri"/>
                <w:szCs w:val="24"/>
              </w:rPr>
              <w:t>Finanšu ministrija</w:t>
            </w:r>
          </w:p>
        </w:tc>
      </w:tr>
      <w:tr w:rsidR="00AE2C28" w:rsidRPr="004826D1" w14:paraId="37B6FBDC" w14:textId="77777777" w:rsidTr="00987C4A">
        <w:trPr>
          <w:trHeight w:val="278"/>
          <w:jc w:val="center"/>
        </w:trPr>
        <w:tc>
          <w:tcPr>
            <w:tcW w:w="1271" w:type="dxa"/>
            <w:tcMar>
              <w:left w:w="28" w:type="dxa"/>
              <w:right w:w="28" w:type="dxa"/>
            </w:tcMar>
            <w:vAlign w:val="center"/>
            <w:hideMark/>
          </w:tcPr>
          <w:p w14:paraId="4A0B59DD" w14:textId="77777777" w:rsidR="00AE2C28" w:rsidRPr="004826D1" w:rsidRDefault="00AE2C28" w:rsidP="00987C4A">
            <w:pPr>
              <w:rPr>
                <w:rFonts w:eastAsia="Calibri"/>
                <w:szCs w:val="24"/>
              </w:rPr>
            </w:pPr>
            <w:r w:rsidRPr="004826D1">
              <w:rPr>
                <w:rFonts w:eastAsia="Calibri"/>
                <w:szCs w:val="24"/>
              </w:rPr>
              <w:t>F-gāzes</w:t>
            </w:r>
          </w:p>
        </w:tc>
        <w:tc>
          <w:tcPr>
            <w:tcW w:w="8647" w:type="dxa"/>
            <w:tcMar>
              <w:left w:w="28" w:type="dxa"/>
              <w:right w:w="28" w:type="dxa"/>
            </w:tcMar>
            <w:vAlign w:val="center"/>
            <w:hideMark/>
          </w:tcPr>
          <w:p w14:paraId="308349E7" w14:textId="77777777" w:rsidR="00AE2C28" w:rsidRPr="004826D1" w:rsidRDefault="00AE2C28" w:rsidP="00987C4A">
            <w:pPr>
              <w:rPr>
                <w:rFonts w:eastAsia="Calibri"/>
                <w:szCs w:val="24"/>
              </w:rPr>
            </w:pPr>
            <w:r w:rsidRPr="004826D1">
              <w:rPr>
                <w:rFonts w:eastAsia="Calibri"/>
                <w:szCs w:val="24"/>
              </w:rPr>
              <w:t>Fluorētās siltumnīcefekta gāzes</w:t>
            </w:r>
          </w:p>
        </w:tc>
      </w:tr>
      <w:tr w:rsidR="00AE2C28" w:rsidRPr="004826D1" w14:paraId="2689F8F6" w14:textId="77777777" w:rsidTr="00987C4A">
        <w:trPr>
          <w:trHeight w:val="278"/>
          <w:jc w:val="center"/>
        </w:trPr>
        <w:tc>
          <w:tcPr>
            <w:tcW w:w="1271" w:type="dxa"/>
            <w:tcMar>
              <w:left w:w="28" w:type="dxa"/>
              <w:right w:w="28" w:type="dxa"/>
            </w:tcMar>
            <w:vAlign w:val="center"/>
          </w:tcPr>
          <w:p w14:paraId="01E8F1B4" w14:textId="77777777" w:rsidR="00AE2C28" w:rsidRPr="004826D1" w:rsidRDefault="00AE2C28" w:rsidP="00987C4A">
            <w:pPr>
              <w:rPr>
                <w:rFonts w:eastAsia="Calibri"/>
                <w:szCs w:val="24"/>
              </w:rPr>
            </w:pPr>
            <w:r w:rsidRPr="004826D1">
              <w:rPr>
                <w:lang w:eastAsia="lv-LV"/>
              </w:rPr>
              <w:t>GPSRP2030</w:t>
            </w:r>
          </w:p>
        </w:tc>
        <w:tc>
          <w:tcPr>
            <w:tcW w:w="8647" w:type="dxa"/>
            <w:tcMar>
              <w:left w:w="28" w:type="dxa"/>
              <w:right w:w="28" w:type="dxa"/>
            </w:tcMar>
            <w:vAlign w:val="center"/>
          </w:tcPr>
          <w:p w14:paraId="608D4481" w14:textId="77777777" w:rsidR="00AE2C28" w:rsidRPr="004826D1" w:rsidRDefault="00AE2C28" w:rsidP="00987C4A">
            <w:pPr>
              <w:rPr>
                <w:rFonts w:eastAsia="Calibri"/>
                <w:szCs w:val="24"/>
              </w:rPr>
            </w:pPr>
            <w:r w:rsidRPr="004826D1">
              <w:rPr>
                <w:lang w:eastAsia="lv-LV"/>
              </w:rPr>
              <w:t>Gaisa piesārņojuma samazināšanas rīcības plāns 2019.-2030.gadam (izstrādes stacijā)</w:t>
            </w:r>
          </w:p>
        </w:tc>
      </w:tr>
      <w:tr w:rsidR="00AE2C28" w:rsidRPr="004826D1" w14:paraId="2C5151C6" w14:textId="77777777" w:rsidTr="00987C4A">
        <w:trPr>
          <w:trHeight w:val="278"/>
          <w:jc w:val="center"/>
        </w:trPr>
        <w:tc>
          <w:tcPr>
            <w:tcW w:w="1271" w:type="dxa"/>
            <w:tcMar>
              <w:left w:w="28" w:type="dxa"/>
              <w:right w:w="28" w:type="dxa"/>
            </w:tcMar>
            <w:vAlign w:val="center"/>
          </w:tcPr>
          <w:p w14:paraId="1620B5A9" w14:textId="77777777" w:rsidR="00AE2C28" w:rsidRPr="004826D1" w:rsidRDefault="00AE2C28" w:rsidP="00987C4A">
            <w:pPr>
              <w:rPr>
                <w:rFonts w:eastAsia="Calibri"/>
                <w:szCs w:val="24"/>
              </w:rPr>
            </w:pPr>
            <w:r w:rsidRPr="004826D1">
              <w:rPr>
                <w:rFonts w:eastAsia="Calibri"/>
                <w:szCs w:val="24"/>
              </w:rPr>
              <w:t>HES</w:t>
            </w:r>
          </w:p>
        </w:tc>
        <w:tc>
          <w:tcPr>
            <w:tcW w:w="8647" w:type="dxa"/>
            <w:tcMar>
              <w:left w:w="28" w:type="dxa"/>
              <w:right w:w="28" w:type="dxa"/>
            </w:tcMar>
            <w:vAlign w:val="center"/>
          </w:tcPr>
          <w:p w14:paraId="7FE5C206" w14:textId="77777777" w:rsidR="00AE2C28" w:rsidRPr="004826D1" w:rsidRDefault="00AE2C28" w:rsidP="00987C4A">
            <w:pPr>
              <w:rPr>
                <w:rFonts w:eastAsia="Calibri"/>
                <w:szCs w:val="24"/>
              </w:rPr>
            </w:pPr>
            <w:r w:rsidRPr="004826D1">
              <w:rPr>
                <w:rFonts w:eastAsia="Calibri"/>
                <w:szCs w:val="24"/>
              </w:rPr>
              <w:t>Hidroelektrostacija</w:t>
            </w:r>
          </w:p>
        </w:tc>
      </w:tr>
      <w:tr w:rsidR="00AE2C28" w:rsidRPr="004826D1" w14:paraId="4CB595F9" w14:textId="77777777" w:rsidTr="00987C4A">
        <w:trPr>
          <w:trHeight w:val="278"/>
          <w:jc w:val="center"/>
        </w:trPr>
        <w:tc>
          <w:tcPr>
            <w:tcW w:w="1271" w:type="dxa"/>
            <w:tcMar>
              <w:left w:w="28" w:type="dxa"/>
              <w:right w:w="28" w:type="dxa"/>
            </w:tcMar>
            <w:vAlign w:val="center"/>
            <w:hideMark/>
          </w:tcPr>
          <w:p w14:paraId="46BADA7E" w14:textId="77777777" w:rsidR="00AE2C28" w:rsidRPr="004826D1" w:rsidRDefault="00AE2C28" w:rsidP="00987C4A">
            <w:pPr>
              <w:rPr>
                <w:rFonts w:eastAsia="Calibri"/>
                <w:szCs w:val="24"/>
              </w:rPr>
            </w:pPr>
            <w:r w:rsidRPr="004826D1">
              <w:rPr>
                <w:rFonts w:eastAsia="Calibri"/>
                <w:szCs w:val="24"/>
              </w:rPr>
              <w:t>IKP</w:t>
            </w:r>
          </w:p>
        </w:tc>
        <w:tc>
          <w:tcPr>
            <w:tcW w:w="8647" w:type="dxa"/>
            <w:tcMar>
              <w:left w:w="28" w:type="dxa"/>
              <w:right w:w="28" w:type="dxa"/>
            </w:tcMar>
            <w:vAlign w:val="center"/>
            <w:hideMark/>
          </w:tcPr>
          <w:p w14:paraId="095CEB25" w14:textId="77777777" w:rsidR="00AE2C28" w:rsidRPr="004826D1" w:rsidRDefault="00AE2C28" w:rsidP="00987C4A">
            <w:pPr>
              <w:rPr>
                <w:rFonts w:eastAsia="Calibri"/>
                <w:szCs w:val="24"/>
              </w:rPr>
            </w:pPr>
            <w:r w:rsidRPr="004826D1">
              <w:rPr>
                <w:rFonts w:eastAsia="Calibri"/>
                <w:szCs w:val="24"/>
              </w:rPr>
              <w:t>Iekšzemes kopprodukts</w:t>
            </w:r>
          </w:p>
        </w:tc>
      </w:tr>
      <w:tr w:rsidR="00AE2C28" w:rsidRPr="004826D1" w14:paraId="0830B3C7" w14:textId="77777777" w:rsidTr="00987C4A">
        <w:trPr>
          <w:trHeight w:val="278"/>
          <w:jc w:val="center"/>
        </w:trPr>
        <w:tc>
          <w:tcPr>
            <w:tcW w:w="1271" w:type="dxa"/>
            <w:tcMar>
              <w:left w:w="28" w:type="dxa"/>
              <w:right w:w="28" w:type="dxa"/>
            </w:tcMar>
            <w:vAlign w:val="center"/>
            <w:hideMark/>
          </w:tcPr>
          <w:p w14:paraId="6D475FC0" w14:textId="77777777" w:rsidR="00AE2C28" w:rsidRPr="004826D1" w:rsidRDefault="00AE2C28" w:rsidP="00987C4A">
            <w:pPr>
              <w:rPr>
                <w:rFonts w:eastAsia="Calibri"/>
                <w:szCs w:val="24"/>
              </w:rPr>
            </w:pPr>
            <w:r w:rsidRPr="004826D1">
              <w:rPr>
                <w:rFonts w:eastAsia="Calibri"/>
                <w:szCs w:val="24"/>
              </w:rPr>
              <w:t>IZM</w:t>
            </w:r>
          </w:p>
        </w:tc>
        <w:tc>
          <w:tcPr>
            <w:tcW w:w="8647" w:type="dxa"/>
            <w:tcMar>
              <w:left w:w="28" w:type="dxa"/>
              <w:right w:w="28" w:type="dxa"/>
            </w:tcMar>
            <w:vAlign w:val="center"/>
            <w:hideMark/>
          </w:tcPr>
          <w:p w14:paraId="663130F9" w14:textId="77777777" w:rsidR="00AE2C28" w:rsidRPr="004826D1" w:rsidRDefault="00AE2C28" w:rsidP="00987C4A">
            <w:pPr>
              <w:rPr>
                <w:rFonts w:eastAsia="Calibri"/>
                <w:szCs w:val="24"/>
              </w:rPr>
            </w:pPr>
            <w:r w:rsidRPr="004826D1">
              <w:rPr>
                <w:rFonts w:eastAsia="Calibri"/>
                <w:szCs w:val="24"/>
              </w:rPr>
              <w:t>Izglītības un zinātnes ministrija</w:t>
            </w:r>
          </w:p>
        </w:tc>
      </w:tr>
      <w:tr w:rsidR="00AE2C28" w:rsidRPr="004826D1" w14:paraId="15AA2407" w14:textId="77777777" w:rsidTr="00987C4A">
        <w:trPr>
          <w:trHeight w:val="278"/>
          <w:jc w:val="center"/>
        </w:trPr>
        <w:tc>
          <w:tcPr>
            <w:tcW w:w="1271" w:type="dxa"/>
            <w:tcMar>
              <w:left w:w="28" w:type="dxa"/>
              <w:right w:w="28" w:type="dxa"/>
            </w:tcMar>
            <w:vAlign w:val="center"/>
          </w:tcPr>
          <w:p w14:paraId="4F6D7B4F" w14:textId="77777777" w:rsidR="00AE2C28" w:rsidRPr="004826D1" w:rsidRDefault="00AE2C28" w:rsidP="00987C4A">
            <w:pPr>
              <w:rPr>
                <w:rFonts w:eastAsia="Calibri"/>
                <w:szCs w:val="24"/>
              </w:rPr>
            </w:pPr>
            <w:r w:rsidRPr="004826D1">
              <w:rPr>
                <w:rFonts w:eastAsia="Calibri"/>
                <w:szCs w:val="24"/>
              </w:rPr>
              <w:t>KEP2020</w:t>
            </w:r>
          </w:p>
        </w:tc>
        <w:tc>
          <w:tcPr>
            <w:tcW w:w="8647" w:type="dxa"/>
            <w:tcMar>
              <w:left w:w="28" w:type="dxa"/>
              <w:right w:w="28" w:type="dxa"/>
            </w:tcMar>
            <w:vAlign w:val="center"/>
          </w:tcPr>
          <w:p w14:paraId="3620715F" w14:textId="77777777" w:rsidR="00AE2C28" w:rsidRPr="004826D1" w:rsidRDefault="00AE2C28" w:rsidP="00987C4A">
            <w:pPr>
              <w:rPr>
                <w:rFonts w:eastAsia="Calibri"/>
                <w:szCs w:val="24"/>
              </w:rPr>
            </w:pPr>
            <w:r w:rsidRPr="004826D1">
              <w:t>Eiropadomes 2007. gada 2. maija prezidentvalsts secinājumi</w:t>
            </w:r>
          </w:p>
        </w:tc>
      </w:tr>
      <w:tr w:rsidR="00AE2C28" w:rsidRPr="004826D1" w14:paraId="26FB0E2F" w14:textId="77777777" w:rsidTr="00987C4A">
        <w:trPr>
          <w:trHeight w:val="278"/>
          <w:jc w:val="center"/>
        </w:trPr>
        <w:tc>
          <w:tcPr>
            <w:tcW w:w="1271" w:type="dxa"/>
            <w:tcMar>
              <w:left w:w="28" w:type="dxa"/>
              <w:right w:w="28" w:type="dxa"/>
            </w:tcMar>
            <w:vAlign w:val="center"/>
          </w:tcPr>
          <w:p w14:paraId="3B34E434" w14:textId="77777777" w:rsidR="00AE2C28" w:rsidRPr="004826D1" w:rsidRDefault="00AE2C28" w:rsidP="00987C4A">
            <w:pPr>
              <w:rPr>
                <w:rFonts w:eastAsia="Calibri"/>
                <w:szCs w:val="24"/>
              </w:rPr>
            </w:pPr>
            <w:r w:rsidRPr="004826D1">
              <w:rPr>
                <w:rFonts w:eastAsia="Calibri"/>
                <w:szCs w:val="24"/>
              </w:rPr>
              <w:t>KEPS2030</w:t>
            </w:r>
          </w:p>
        </w:tc>
        <w:tc>
          <w:tcPr>
            <w:tcW w:w="8647" w:type="dxa"/>
            <w:tcMar>
              <w:left w:w="28" w:type="dxa"/>
              <w:right w:w="28" w:type="dxa"/>
            </w:tcMar>
            <w:vAlign w:val="center"/>
          </w:tcPr>
          <w:p w14:paraId="7723798D" w14:textId="77777777" w:rsidR="00AE2C28" w:rsidRPr="004826D1" w:rsidRDefault="00AE2C28" w:rsidP="00987C4A">
            <w:pPr>
              <w:rPr>
                <w:rFonts w:eastAsia="Calibri"/>
                <w:szCs w:val="24"/>
              </w:rPr>
            </w:pPr>
            <w:r w:rsidRPr="004826D1">
              <w:t>Eiropadomes 2014. gada 24. oktobra secinājumi “Klimata un enerģētikas politikas satvars laikposmam līdz 2030. gadam”</w:t>
            </w:r>
          </w:p>
        </w:tc>
      </w:tr>
      <w:tr w:rsidR="00AE2C28" w:rsidRPr="004826D1" w14:paraId="5DECC750" w14:textId="77777777" w:rsidTr="00987C4A">
        <w:trPr>
          <w:trHeight w:val="278"/>
          <w:jc w:val="center"/>
        </w:trPr>
        <w:tc>
          <w:tcPr>
            <w:tcW w:w="1271" w:type="dxa"/>
            <w:tcMar>
              <w:left w:w="28" w:type="dxa"/>
              <w:right w:w="28" w:type="dxa"/>
            </w:tcMar>
            <w:vAlign w:val="center"/>
          </w:tcPr>
          <w:p w14:paraId="085BF393" w14:textId="77777777" w:rsidR="00AE2C28" w:rsidRPr="004826D1" w:rsidRDefault="00AE2C28" w:rsidP="00987C4A">
            <w:pPr>
              <w:rPr>
                <w:rFonts w:eastAsia="Calibri"/>
                <w:szCs w:val="24"/>
              </w:rPr>
            </w:pPr>
            <w:r w:rsidRPr="004826D1">
              <w:rPr>
                <w:rFonts w:eastAsia="Calibri"/>
                <w:szCs w:val="24"/>
              </w:rPr>
              <w:t>KF</w:t>
            </w:r>
          </w:p>
        </w:tc>
        <w:tc>
          <w:tcPr>
            <w:tcW w:w="8647" w:type="dxa"/>
            <w:tcMar>
              <w:left w:w="28" w:type="dxa"/>
              <w:right w:w="28" w:type="dxa"/>
            </w:tcMar>
            <w:vAlign w:val="center"/>
          </w:tcPr>
          <w:p w14:paraId="4A9C015A" w14:textId="77777777" w:rsidR="00AE2C28" w:rsidRPr="004826D1" w:rsidRDefault="00AE2C28" w:rsidP="00987C4A">
            <w:pPr>
              <w:rPr>
                <w:rFonts w:eastAsia="Calibri"/>
                <w:szCs w:val="24"/>
              </w:rPr>
            </w:pPr>
            <w:r w:rsidRPr="004826D1">
              <w:rPr>
                <w:rFonts w:eastAsia="Calibri"/>
                <w:szCs w:val="24"/>
              </w:rPr>
              <w:t>Kohēzijas fonds</w:t>
            </w:r>
          </w:p>
        </w:tc>
      </w:tr>
      <w:tr w:rsidR="00AE2C28" w:rsidRPr="004826D1" w14:paraId="64AD7ACE" w14:textId="77777777" w:rsidTr="00987C4A">
        <w:trPr>
          <w:trHeight w:val="278"/>
          <w:jc w:val="center"/>
        </w:trPr>
        <w:tc>
          <w:tcPr>
            <w:tcW w:w="1271" w:type="dxa"/>
            <w:tcMar>
              <w:left w:w="28" w:type="dxa"/>
              <w:right w:w="28" w:type="dxa"/>
            </w:tcMar>
            <w:vAlign w:val="center"/>
          </w:tcPr>
          <w:p w14:paraId="5FA73E4C" w14:textId="77777777" w:rsidR="00AE2C28" w:rsidRPr="004826D1" w:rsidRDefault="00AE2C28" w:rsidP="00987C4A">
            <w:pPr>
              <w:rPr>
                <w:rFonts w:eastAsia="Calibri"/>
                <w:szCs w:val="24"/>
              </w:rPr>
            </w:pPr>
            <w:r w:rsidRPr="004826D1">
              <w:rPr>
                <w:rFonts w:eastAsia="Calibri"/>
                <w:szCs w:val="24"/>
              </w:rPr>
              <w:t>KIP</w:t>
            </w:r>
          </w:p>
        </w:tc>
        <w:tc>
          <w:tcPr>
            <w:tcW w:w="8647" w:type="dxa"/>
            <w:tcMar>
              <w:left w:w="28" w:type="dxa"/>
              <w:right w:w="28" w:type="dxa"/>
            </w:tcMar>
            <w:vAlign w:val="center"/>
          </w:tcPr>
          <w:p w14:paraId="2E0DDB94" w14:textId="77777777" w:rsidR="00AE2C28" w:rsidRPr="004826D1" w:rsidRDefault="00AE2C28" w:rsidP="00987C4A">
            <w:pPr>
              <w:rPr>
                <w:rFonts w:eastAsia="Calibri"/>
                <w:szCs w:val="24"/>
              </w:rPr>
            </w:pPr>
            <w:r w:rsidRPr="004826D1">
              <w:t>Kopīgu Interešu Projekts</w:t>
            </w:r>
          </w:p>
        </w:tc>
      </w:tr>
      <w:tr w:rsidR="00AE2C28" w:rsidRPr="004826D1" w14:paraId="0963098E" w14:textId="77777777" w:rsidTr="00987C4A">
        <w:trPr>
          <w:trHeight w:val="278"/>
          <w:jc w:val="center"/>
        </w:trPr>
        <w:tc>
          <w:tcPr>
            <w:tcW w:w="1271" w:type="dxa"/>
            <w:tcMar>
              <w:left w:w="28" w:type="dxa"/>
              <w:right w:w="28" w:type="dxa"/>
            </w:tcMar>
            <w:vAlign w:val="center"/>
            <w:hideMark/>
          </w:tcPr>
          <w:p w14:paraId="6E4D19F5" w14:textId="77777777" w:rsidR="00AE2C28" w:rsidRPr="004826D1" w:rsidRDefault="00AE2C28" w:rsidP="00987C4A">
            <w:pPr>
              <w:rPr>
                <w:rFonts w:eastAsia="Calibri"/>
                <w:szCs w:val="24"/>
              </w:rPr>
            </w:pPr>
            <w:r w:rsidRPr="004826D1">
              <w:rPr>
                <w:rFonts w:eastAsia="Calibri"/>
                <w:szCs w:val="24"/>
              </w:rPr>
              <w:t>KPFI</w:t>
            </w:r>
          </w:p>
        </w:tc>
        <w:tc>
          <w:tcPr>
            <w:tcW w:w="8647" w:type="dxa"/>
            <w:tcMar>
              <w:left w:w="28" w:type="dxa"/>
              <w:right w:w="28" w:type="dxa"/>
            </w:tcMar>
            <w:vAlign w:val="center"/>
            <w:hideMark/>
          </w:tcPr>
          <w:p w14:paraId="1EE9C624" w14:textId="77777777" w:rsidR="00AE2C28" w:rsidRPr="004826D1" w:rsidRDefault="00AE2C28" w:rsidP="00987C4A">
            <w:pPr>
              <w:rPr>
                <w:szCs w:val="24"/>
              </w:rPr>
            </w:pPr>
            <w:r w:rsidRPr="004826D1">
              <w:rPr>
                <w:rFonts w:eastAsia="Calibri"/>
                <w:szCs w:val="24"/>
              </w:rPr>
              <w:t>Klimata pārmaiņu finanšu instruments</w:t>
            </w:r>
          </w:p>
        </w:tc>
      </w:tr>
      <w:tr w:rsidR="00AE2C28" w:rsidRPr="004826D1" w14:paraId="7531D47B" w14:textId="77777777" w:rsidTr="00987C4A">
        <w:trPr>
          <w:trHeight w:val="278"/>
          <w:jc w:val="center"/>
        </w:trPr>
        <w:tc>
          <w:tcPr>
            <w:tcW w:w="1271" w:type="dxa"/>
            <w:tcMar>
              <w:left w:w="28" w:type="dxa"/>
              <w:right w:w="28" w:type="dxa"/>
            </w:tcMar>
            <w:vAlign w:val="center"/>
          </w:tcPr>
          <w:p w14:paraId="37724216" w14:textId="77777777" w:rsidR="00AE2C28" w:rsidRPr="004826D1" w:rsidRDefault="00AE2C28" w:rsidP="00987C4A">
            <w:pPr>
              <w:rPr>
                <w:rFonts w:eastAsia="Calibri"/>
                <w:szCs w:val="24"/>
              </w:rPr>
            </w:pPr>
            <w:r w:rsidRPr="004826D1">
              <w:rPr>
                <w:rFonts w:eastAsia="Calibri"/>
                <w:szCs w:val="24"/>
              </w:rPr>
              <w:t>LEIS2030</w:t>
            </w:r>
          </w:p>
        </w:tc>
        <w:tc>
          <w:tcPr>
            <w:tcW w:w="8647" w:type="dxa"/>
            <w:tcMar>
              <w:left w:w="28" w:type="dxa"/>
              <w:right w:w="28" w:type="dxa"/>
            </w:tcMar>
            <w:vAlign w:val="center"/>
          </w:tcPr>
          <w:p w14:paraId="355E13FE" w14:textId="77777777" w:rsidR="00AE2C28" w:rsidRPr="004826D1" w:rsidRDefault="00AE2C28" w:rsidP="00987C4A">
            <w:pPr>
              <w:rPr>
                <w:color w:val="000000"/>
                <w:szCs w:val="24"/>
              </w:rPr>
            </w:pPr>
            <w:bookmarkStart w:id="3" w:name="_Hlk531553661"/>
            <w:r w:rsidRPr="004826D1">
              <w:rPr>
                <w:color w:val="000000"/>
                <w:szCs w:val="24"/>
              </w:rPr>
              <w:t>Latvijas Enerģētikas ilgtermiņa stratēģija 2030 – konkurētspējīga enerģētika sabiedrībai</w:t>
            </w:r>
            <w:bookmarkEnd w:id="3"/>
          </w:p>
        </w:tc>
      </w:tr>
      <w:tr w:rsidR="00AE2C28" w:rsidRPr="004826D1" w14:paraId="56D8F229" w14:textId="77777777" w:rsidTr="00987C4A">
        <w:trPr>
          <w:trHeight w:val="278"/>
          <w:jc w:val="center"/>
        </w:trPr>
        <w:tc>
          <w:tcPr>
            <w:tcW w:w="1271" w:type="dxa"/>
            <w:tcMar>
              <w:left w:w="28" w:type="dxa"/>
              <w:right w:w="28" w:type="dxa"/>
            </w:tcMar>
            <w:vAlign w:val="center"/>
          </w:tcPr>
          <w:p w14:paraId="13B17164" w14:textId="77777777" w:rsidR="00AE2C28" w:rsidRPr="004826D1" w:rsidRDefault="00AE2C28" w:rsidP="00987C4A">
            <w:pPr>
              <w:rPr>
                <w:rFonts w:eastAsia="Calibri"/>
                <w:szCs w:val="24"/>
              </w:rPr>
            </w:pPr>
            <w:bookmarkStart w:id="4" w:name="_Hlk531553615"/>
            <w:r w:rsidRPr="004826D1">
              <w:rPr>
                <w:rFonts w:eastAsia="Calibri"/>
                <w:szCs w:val="24"/>
              </w:rPr>
              <w:t>LIAS2030</w:t>
            </w:r>
          </w:p>
        </w:tc>
        <w:tc>
          <w:tcPr>
            <w:tcW w:w="8647" w:type="dxa"/>
            <w:tcMar>
              <w:left w:w="28" w:type="dxa"/>
              <w:right w:w="28" w:type="dxa"/>
            </w:tcMar>
            <w:vAlign w:val="center"/>
          </w:tcPr>
          <w:p w14:paraId="1957C2CD" w14:textId="77777777" w:rsidR="00AE2C28" w:rsidRPr="004826D1" w:rsidRDefault="00AE2C28" w:rsidP="00987C4A">
            <w:pPr>
              <w:rPr>
                <w:rFonts w:eastAsia="Calibri"/>
                <w:szCs w:val="24"/>
              </w:rPr>
            </w:pPr>
            <w:r w:rsidRPr="004826D1">
              <w:rPr>
                <w:rFonts w:eastAsia="Calibri"/>
                <w:szCs w:val="24"/>
              </w:rPr>
              <w:t>Latvijas ilgtspējīgas attīstības stratēģija 2030.gadam</w:t>
            </w:r>
          </w:p>
        </w:tc>
      </w:tr>
      <w:bookmarkEnd w:id="4"/>
      <w:tr w:rsidR="00AE2C28" w:rsidRPr="004826D1" w14:paraId="00EFA267" w14:textId="77777777" w:rsidTr="00987C4A">
        <w:trPr>
          <w:trHeight w:val="264"/>
          <w:jc w:val="center"/>
        </w:trPr>
        <w:tc>
          <w:tcPr>
            <w:tcW w:w="1271" w:type="dxa"/>
            <w:tcMar>
              <w:left w:w="28" w:type="dxa"/>
              <w:right w:w="28" w:type="dxa"/>
            </w:tcMar>
            <w:vAlign w:val="center"/>
            <w:hideMark/>
          </w:tcPr>
          <w:p w14:paraId="5BCEF7DE" w14:textId="77777777" w:rsidR="00AE2C28" w:rsidRPr="004826D1" w:rsidRDefault="00AE2C28" w:rsidP="00987C4A">
            <w:pPr>
              <w:rPr>
                <w:rFonts w:eastAsia="Calibri"/>
                <w:szCs w:val="24"/>
              </w:rPr>
            </w:pPr>
            <w:r w:rsidRPr="004826D1">
              <w:rPr>
                <w:rFonts w:eastAsia="Calibri"/>
                <w:szCs w:val="24"/>
              </w:rPr>
              <w:t>LIFE</w:t>
            </w:r>
          </w:p>
        </w:tc>
        <w:tc>
          <w:tcPr>
            <w:tcW w:w="8647" w:type="dxa"/>
            <w:tcMar>
              <w:left w:w="28" w:type="dxa"/>
              <w:right w:w="28" w:type="dxa"/>
            </w:tcMar>
            <w:vAlign w:val="center"/>
            <w:hideMark/>
          </w:tcPr>
          <w:p w14:paraId="2E07EBD9" w14:textId="77777777" w:rsidR="00AE2C28" w:rsidRPr="004826D1" w:rsidRDefault="00AE2C28" w:rsidP="00987C4A">
            <w:pPr>
              <w:jc w:val="both"/>
              <w:rPr>
                <w:rFonts w:eastAsia="Calibri"/>
                <w:szCs w:val="24"/>
              </w:rPr>
            </w:pPr>
            <w:r w:rsidRPr="004826D1">
              <w:rPr>
                <w:rFonts w:eastAsia="Calibri"/>
                <w:szCs w:val="24"/>
              </w:rPr>
              <w:t>Eiropas Savienības vides finanšu programma</w:t>
            </w:r>
          </w:p>
        </w:tc>
      </w:tr>
      <w:tr w:rsidR="00AE2C28" w:rsidRPr="004826D1" w14:paraId="5B4C51A6" w14:textId="77777777" w:rsidTr="00987C4A">
        <w:trPr>
          <w:trHeight w:val="264"/>
          <w:jc w:val="center"/>
        </w:trPr>
        <w:tc>
          <w:tcPr>
            <w:tcW w:w="1271" w:type="dxa"/>
            <w:tcMar>
              <w:left w:w="28" w:type="dxa"/>
              <w:right w:w="28" w:type="dxa"/>
            </w:tcMar>
            <w:vAlign w:val="center"/>
            <w:hideMark/>
          </w:tcPr>
          <w:p w14:paraId="0435F03C" w14:textId="77777777" w:rsidR="00AE2C28" w:rsidRPr="004826D1" w:rsidRDefault="00AE2C28" w:rsidP="00987C4A">
            <w:pPr>
              <w:rPr>
                <w:rFonts w:eastAsia="Calibri"/>
                <w:szCs w:val="24"/>
              </w:rPr>
            </w:pPr>
            <w:r w:rsidRPr="004826D1">
              <w:rPr>
                <w:rFonts w:eastAsia="Calibri"/>
                <w:szCs w:val="24"/>
              </w:rPr>
              <w:t>LLU</w:t>
            </w:r>
          </w:p>
        </w:tc>
        <w:tc>
          <w:tcPr>
            <w:tcW w:w="8647" w:type="dxa"/>
            <w:tcMar>
              <w:left w:w="28" w:type="dxa"/>
              <w:right w:w="28" w:type="dxa"/>
            </w:tcMar>
            <w:vAlign w:val="center"/>
            <w:hideMark/>
          </w:tcPr>
          <w:p w14:paraId="244DE4B9" w14:textId="77777777" w:rsidR="00AE2C28" w:rsidRPr="004826D1" w:rsidRDefault="00AE2C28" w:rsidP="00987C4A">
            <w:pPr>
              <w:jc w:val="both"/>
              <w:rPr>
                <w:rFonts w:eastAsia="Calibri"/>
                <w:szCs w:val="24"/>
              </w:rPr>
            </w:pPr>
            <w:r w:rsidRPr="004826D1">
              <w:rPr>
                <w:rFonts w:eastAsia="Calibri"/>
                <w:szCs w:val="24"/>
              </w:rPr>
              <w:t>Latvijas Lauksaimniecības universitāte</w:t>
            </w:r>
          </w:p>
        </w:tc>
      </w:tr>
      <w:tr w:rsidR="00AE2C28" w:rsidRPr="004826D1" w14:paraId="6394A403" w14:textId="77777777" w:rsidTr="00987C4A">
        <w:trPr>
          <w:trHeight w:val="264"/>
          <w:jc w:val="center"/>
        </w:trPr>
        <w:tc>
          <w:tcPr>
            <w:tcW w:w="1271" w:type="dxa"/>
            <w:tcMar>
              <w:left w:w="28" w:type="dxa"/>
              <w:right w:w="28" w:type="dxa"/>
            </w:tcMar>
            <w:vAlign w:val="center"/>
          </w:tcPr>
          <w:p w14:paraId="19E52FF3" w14:textId="77777777" w:rsidR="00AE2C28" w:rsidRPr="004826D1" w:rsidRDefault="00AE2C28" w:rsidP="00987C4A">
            <w:pPr>
              <w:rPr>
                <w:rFonts w:eastAsia="Calibri"/>
                <w:szCs w:val="24"/>
              </w:rPr>
            </w:pPr>
            <w:r w:rsidRPr="004826D1">
              <w:rPr>
                <w:rFonts w:eastAsia="Calibri"/>
                <w:szCs w:val="24"/>
              </w:rPr>
              <w:t>LM</w:t>
            </w:r>
          </w:p>
        </w:tc>
        <w:tc>
          <w:tcPr>
            <w:tcW w:w="8647" w:type="dxa"/>
            <w:tcMar>
              <w:left w:w="28" w:type="dxa"/>
              <w:right w:w="28" w:type="dxa"/>
            </w:tcMar>
            <w:vAlign w:val="center"/>
          </w:tcPr>
          <w:p w14:paraId="086D48F5" w14:textId="77777777" w:rsidR="00AE2C28" w:rsidRPr="004826D1" w:rsidRDefault="00AE2C28" w:rsidP="00987C4A">
            <w:pPr>
              <w:jc w:val="both"/>
              <w:rPr>
                <w:rFonts w:eastAsia="Calibri"/>
                <w:szCs w:val="24"/>
              </w:rPr>
            </w:pPr>
            <w:r w:rsidRPr="004826D1">
              <w:rPr>
                <w:rFonts w:eastAsia="Calibri"/>
                <w:szCs w:val="24"/>
              </w:rPr>
              <w:t>Labklājības ministrija</w:t>
            </w:r>
          </w:p>
        </w:tc>
      </w:tr>
      <w:tr w:rsidR="00AE2C28" w:rsidRPr="004826D1" w14:paraId="5DA67F73" w14:textId="77777777" w:rsidTr="00987C4A">
        <w:trPr>
          <w:trHeight w:val="264"/>
          <w:jc w:val="center"/>
        </w:trPr>
        <w:tc>
          <w:tcPr>
            <w:tcW w:w="1271" w:type="dxa"/>
            <w:tcMar>
              <w:left w:w="28" w:type="dxa"/>
              <w:right w:w="28" w:type="dxa"/>
            </w:tcMar>
            <w:vAlign w:val="center"/>
          </w:tcPr>
          <w:p w14:paraId="5864EC18" w14:textId="77777777" w:rsidR="00AE2C28" w:rsidRPr="004826D1" w:rsidRDefault="00AE2C28" w:rsidP="00987C4A">
            <w:pPr>
              <w:rPr>
                <w:rFonts w:eastAsia="Calibri"/>
                <w:szCs w:val="24"/>
              </w:rPr>
            </w:pPr>
            <w:r w:rsidRPr="004826D1">
              <w:rPr>
                <w:rFonts w:eastAsia="Calibri"/>
                <w:szCs w:val="24"/>
              </w:rPr>
              <w:t>LNAP2020</w:t>
            </w:r>
          </w:p>
        </w:tc>
        <w:tc>
          <w:tcPr>
            <w:tcW w:w="8647" w:type="dxa"/>
            <w:tcMar>
              <w:left w:w="28" w:type="dxa"/>
              <w:right w:w="28" w:type="dxa"/>
            </w:tcMar>
            <w:vAlign w:val="center"/>
          </w:tcPr>
          <w:p w14:paraId="32C228DD" w14:textId="77777777" w:rsidR="00AE2C28" w:rsidRPr="004826D1" w:rsidRDefault="00AE2C28" w:rsidP="00987C4A">
            <w:pPr>
              <w:jc w:val="both"/>
              <w:rPr>
                <w:rFonts w:eastAsia="Calibri"/>
                <w:szCs w:val="24"/>
              </w:rPr>
            </w:pPr>
            <w:r w:rsidRPr="004826D1">
              <w:rPr>
                <w:rFonts w:eastAsia="Calibri"/>
                <w:szCs w:val="24"/>
              </w:rPr>
              <w:t>Nacionālais attīstības plāns 2014.–2020.gadam</w:t>
            </w:r>
          </w:p>
        </w:tc>
      </w:tr>
      <w:tr w:rsidR="00AE2C28" w:rsidRPr="004826D1" w14:paraId="3B37EA67" w14:textId="77777777" w:rsidTr="00987C4A">
        <w:trPr>
          <w:trHeight w:val="264"/>
          <w:jc w:val="center"/>
        </w:trPr>
        <w:tc>
          <w:tcPr>
            <w:tcW w:w="1271" w:type="dxa"/>
            <w:tcMar>
              <w:left w:w="28" w:type="dxa"/>
              <w:right w:w="28" w:type="dxa"/>
            </w:tcMar>
            <w:vAlign w:val="center"/>
          </w:tcPr>
          <w:p w14:paraId="57743E76" w14:textId="77777777" w:rsidR="00AE2C28" w:rsidRPr="004826D1" w:rsidRDefault="00AE2C28" w:rsidP="00987C4A">
            <w:pPr>
              <w:rPr>
                <w:rFonts w:eastAsia="Calibri"/>
                <w:szCs w:val="24"/>
              </w:rPr>
            </w:pPr>
            <w:r w:rsidRPr="004826D1">
              <w:rPr>
                <w:rFonts w:eastAsia="Calibri"/>
                <w:szCs w:val="24"/>
              </w:rPr>
              <w:t>LNAP2027</w:t>
            </w:r>
          </w:p>
        </w:tc>
        <w:tc>
          <w:tcPr>
            <w:tcW w:w="8647" w:type="dxa"/>
            <w:tcMar>
              <w:left w:w="28" w:type="dxa"/>
              <w:right w:w="28" w:type="dxa"/>
            </w:tcMar>
            <w:vAlign w:val="center"/>
          </w:tcPr>
          <w:p w14:paraId="218D0CFC" w14:textId="77777777" w:rsidR="00AE2C28" w:rsidRPr="004826D1" w:rsidRDefault="00AE2C28" w:rsidP="00987C4A">
            <w:pPr>
              <w:jc w:val="both"/>
              <w:rPr>
                <w:rFonts w:eastAsia="Calibri"/>
                <w:szCs w:val="24"/>
              </w:rPr>
            </w:pPr>
            <w:r w:rsidRPr="004826D1">
              <w:rPr>
                <w:rFonts w:eastAsia="Calibri"/>
                <w:szCs w:val="24"/>
              </w:rPr>
              <w:t>Nacionālais attīstības plāns 2021.-2027.gadam (izstrādes stadijā)</w:t>
            </w:r>
          </w:p>
        </w:tc>
      </w:tr>
      <w:tr w:rsidR="00AE2C28" w:rsidRPr="004826D1" w14:paraId="5614CA0E" w14:textId="77777777" w:rsidTr="00987C4A">
        <w:trPr>
          <w:trHeight w:val="264"/>
          <w:jc w:val="center"/>
        </w:trPr>
        <w:tc>
          <w:tcPr>
            <w:tcW w:w="1271" w:type="dxa"/>
            <w:tcMar>
              <w:left w:w="28" w:type="dxa"/>
              <w:right w:w="28" w:type="dxa"/>
            </w:tcMar>
            <w:vAlign w:val="center"/>
          </w:tcPr>
          <w:p w14:paraId="6B283680" w14:textId="77777777" w:rsidR="00AE2C28" w:rsidRPr="004826D1" w:rsidRDefault="00AE2C28" w:rsidP="00987C4A">
            <w:pPr>
              <w:rPr>
                <w:rFonts w:eastAsia="Calibri"/>
                <w:szCs w:val="24"/>
              </w:rPr>
            </w:pPr>
            <w:r w:rsidRPr="004826D1">
              <w:rPr>
                <w:rFonts w:eastAsia="Calibri"/>
                <w:szCs w:val="24"/>
              </w:rPr>
              <w:t>LPKPP2030</w:t>
            </w:r>
          </w:p>
        </w:tc>
        <w:tc>
          <w:tcPr>
            <w:tcW w:w="8647" w:type="dxa"/>
            <w:tcMar>
              <w:left w:w="28" w:type="dxa"/>
              <w:right w:w="28" w:type="dxa"/>
            </w:tcMar>
            <w:vAlign w:val="center"/>
          </w:tcPr>
          <w:p w14:paraId="00BFB87A" w14:textId="77777777" w:rsidR="00AE2C28" w:rsidRPr="004826D1" w:rsidRDefault="00AE2C28" w:rsidP="00987C4A">
            <w:pPr>
              <w:jc w:val="both"/>
              <w:rPr>
                <w:rFonts w:eastAsia="Calibri"/>
                <w:szCs w:val="24"/>
              </w:rPr>
            </w:pPr>
            <w:r w:rsidRPr="004826D1">
              <w:rPr>
                <w:szCs w:val="24"/>
              </w:rPr>
              <w:t xml:space="preserve">Latvijas pielāgošanās klimata pārmaiņām plāns laika posmam līdz 2030.gadam </w:t>
            </w:r>
          </w:p>
        </w:tc>
      </w:tr>
      <w:tr w:rsidR="00AE2C28" w:rsidRPr="004826D1" w14:paraId="4027D070" w14:textId="77777777" w:rsidTr="00987C4A">
        <w:trPr>
          <w:trHeight w:val="278"/>
          <w:jc w:val="center"/>
        </w:trPr>
        <w:tc>
          <w:tcPr>
            <w:tcW w:w="1271" w:type="dxa"/>
            <w:tcMar>
              <w:left w:w="28" w:type="dxa"/>
              <w:right w:w="28" w:type="dxa"/>
            </w:tcMar>
            <w:vAlign w:val="center"/>
            <w:hideMark/>
          </w:tcPr>
          <w:p w14:paraId="76985B97" w14:textId="77777777" w:rsidR="00AE2C28" w:rsidRPr="004826D1" w:rsidRDefault="00AE2C28" w:rsidP="00987C4A">
            <w:pPr>
              <w:rPr>
                <w:szCs w:val="24"/>
              </w:rPr>
            </w:pPr>
            <w:r w:rsidRPr="004826D1">
              <w:rPr>
                <w:rFonts w:eastAsia="Calibri"/>
                <w:szCs w:val="24"/>
              </w:rPr>
              <w:t>LPS</w:t>
            </w:r>
          </w:p>
        </w:tc>
        <w:tc>
          <w:tcPr>
            <w:tcW w:w="8647" w:type="dxa"/>
            <w:tcMar>
              <w:left w:w="28" w:type="dxa"/>
              <w:right w:w="28" w:type="dxa"/>
            </w:tcMar>
            <w:vAlign w:val="center"/>
            <w:hideMark/>
          </w:tcPr>
          <w:p w14:paraId="4DFEB9B9" w14:textId="77777777" w:rsidR="00AE2C28" w:rsidRPr="004826D1" w:rsidRDefault="00AE2C28" w:rsidP="00987C4A">
            <w:pPr>
              <w:rPr>
                <w:rFonts w:eastAsia="Calibri"/>
                <w:szCs w:val="24"/>
              </w:rPr>
            </w:pPr>
            <w:r w:rsidRPr="004826D1">
              <w:rPr>
                <w:rFonts w:eastAsia="Calibri"/>
                <w:szCs w:val="24"/>
              </w:rPr>
              <w:t>Latvijas Pašvaldību savienība</w:t>
            </w:r>
          </w:p>
        </w:tc>
      </w:tr>
      <w:tr w:rsidR="00AE2C28" w:rsidRPr="004826D1" w14:paraId="0E849A8C" w14:textId="77777777" w:rsidTr="00987C4A">
        <w:trPr>
          <w:trHeight w:val="278"/>
          <w:jc w:val="center"/>
        </w:trPr>
        <w:tc>
          <w:tcPr>
            <w:tcW w:w="1271" w:type="dxa"/>
            <w:tcMar>
              <w:left w:w="28" w:type="dxa"/>
              <w:right w:w="28" w:type="dxa"/>
            </w:tcMar>
            <w:vAlign w:val="center"/>
          </w:tcPr>
          <w:p w14:paraId="5274378C" w14:textId="77777777" w:rsidR="00AE2C28" w:rsidRPr="004826D1" w:rsidRDefault="00AE2C28" w:rsidP="00987C4A">
            <w:pPr>
              <w:rPr>
                <w:rFonts w:eastAsia="Calibri"/>
                <w:szCs w:val="24"/>
              </w:rPr>
            </w:pPr>
            <w:r w:rsidRPr="004826D1">
              <w:rPr>
                <w:rFonts w:eastAsia="Calibri"/>
                <w:szCs w:val="24"/>
              </w:rPr>
              <w:lastRenderedPageBreak/>
              <w:t>LRRAEJ</w:t>
            </w:r>
          </w:p>
        </w:tc>
        <w:tc>
          <w:tcPr>
            <w:tcW w:w="8647" w:type="dxa"/>
            <w:tcMar>
              <w:left w:w="28" w:type="dxa"/>
              <w:right w:w="28" w:type="dxa"/>
            </w:tcMar>
            <w:vAlign w:val="center"/>
          </w:tcPr>
          <w:p w14:paraId="4F83CE0D" w14:textId="77777777" w:rsidR="00AE2C28" w:rsidRPr="004826D1" w:rsidRDefault="00AE2C28" w:rsidP="00987C4A">
            <w:pPr>
              <w:rPr>
                <w:rFonts w:eastAsia="Calibri"/>
                <w:szCs w:val="24"/>
              </w:rPr>
            </w:pPr>
            <w:r w:rsidRPr="004826D1">
              <w:rPr>
                <w:rFonts w:eastAsia="Calibri"/>
                <w:szCs w:val="24"/>
              </w:rPr>
              <w:t>Latvijas Republikas Rīcība atjaunojamās enerģijas jomā Eiropas Parlamenta un Padomes 2009. gada 23. aprīļa direktīvas 2009/28/EK par atjaunojamo energoresursu izmantošanas veicināšanu un ar ko groza un sekojoši atceļ Direktīvas 2001/77/EK un 2003/30/EK ieviešanai līdz 2020. gadam</w:t>
            </w:r>
          </w:p>
        </w:tc>
      </w:tr>
      <w:tr w:rsidR="00AE2C28" w:rsidRPr="004826D1" w14:paraId="198F62B8" w14:textId="77777777" w:rsidTr="00987C4A">
        <w:trPr>
          <w:trHeight w:val="278"/>
          <w:jc w:val="center"/>
        </w:trPr>
        <w:tc>
          <w:tcPr>
            <w:tcW w:w="1271" w:type="dxa"/>
            <w:tcMar>
              <w:left w:w="28" w:type="dxa"/>
              <w:right w:w="28" w:type="dxa"/>
            </w:tcMar>
            <w:vAlign w:val="center"/>
          </w:tcPr>
          <w:p w14:paraId="1029ADD3" w14:textId="77777777" w:rsidR="00AE2C28" w:rsidRPr="004826D1" w:rsidRDefault="00AE2C28" w:rsidP="00987C4A">
            <w:pPr>
              <w:rPr>
                <w:rFonts w:eastAsia="Calibri"/>
                <w:szCs w:val="24"/>
              </w:rPr>
            </w:pPr>
            <w:r w:rsidRPr="004826D1">
              <w:rPr>
                <w:rFonts w:eastAsia="Calibri"/>
                <w:szCs w:val="24"/>
              </w:rPr>
              <w:t>LSA</w:t>
            </w:r>
          </w:p>
        </w:tc>
        <w:tc>
          <w:tcPr>
            <w:tcW w:w="8647" w:type="dxa"/>
            <w:tcMar>
              <w:left w:w="28" w:type="dxa"/>
              <w:right w:w="28" w:type="dxa"/>
            </w:tcMar>
            <w:vAlign w:val="center"/>
          </w:tcPr>
          <w:p w14:paraId="29FE3DA3" w14:textId="77777777" w:rsidR="00AE2C28" w:rsidRPr="004826D1" w:rsidRDefault="00AE2C28" w:rsidP="00987C4A">
            <w:pPr>
              <w:rPr>
                <w:rFonts w:eastAsia="Calibri"/>
                <w:szCs w:val="24"/>
              </w:rPr>
            </w:pPr>
            <w:r w:rsidRPr="004826D1">
              <w:rPr>
                <w:rFonts w:eastAsia="Calibri"/>
                <w:szCs w:val="24"/>
              </w:rPr>
              <w:t>Lokālā siltumapgāde – autonoma ražotāja, valsts vai pašvaldības iestāžu īpašumā esoša siltumapgādes sistēma, kas nodrošina siltumenerģiju paša vajadzībām un citiem enerģijas lietotājiem, kuriem siltumenerģija tiek sadalīta un piegādāta no siltumavota pa sadales siltumtīkliem vai bez tiem (Enerģētikas likums)</w:t>
            </w:r>
          </w:p>
        </w:tc>
      </w:tr>
      <w:tr w:rsidR="00AE2C28" w:rsidRPr="004826D1" w14:paraId="1DFF97C9" w14:textId="77777777" w:rsidTr="00987C4A">
        <w:trPr>
          <w:trHeight w:val="278"/>
          <w:jc w:val="center"/>
        </w:trPr>
        <w:tc>
          <w:tcPr>
            <w:tcW w:w="1271" w:type="dxa"/>
            <w:tcMar>
              <w:left w:w="28" w:type="dxa"/>
              <w:right w:w="28" w:type="dxa"/>
            </w:tcMar>
            <w:vAlign w:val="center"/>
            <w:hideMark/>
          </w:tcPr>
          <w:p w14:paraId="2CCAF1C7" w14:textId="77777777" w:rsidR="00AE2C28" w:rsidRPr="004826D1" w:rsidRDefault="00AE2C28" w:rsidP="00987C4A">
            <w:pPr>
              <w:rPr>
                <w:szCs w:val="24"/>
              </w:rPr>
            </w:pPr>
            <w:r w:rsidRPr="004826D1">
              <w:rPr>
                <w:szCs w:val="24"/>
              </w:rPr>
              <w:t>LU</w:t>
            </w:r>
          </w:p>
        </w:tc>
        <w:tc>
          <w:tcPr>
            <w:tcW w:w="8647" w:type="dxa"/>
            <w:tcMar>
              <w:left w:w="28" w:type="dxa"/>
              <w:right w:w="28" w:type="dxa"/>
            </w:tcMar>
            <w:vAlign w:val="center"/>
            <w:hideMark/>
          </w:tcPr>
          <w:p w14:paraId="00AA3D55" w14:textId="77777777" w:rsidR="00AE2C28" w:rsidRPr="004826D1" w:rsidRDefault="00AE2C28" w:rsidP="00987C4A">
            <w:pPr>
              <w:rPr>
                <w:szCs w:val="24"/>
              </w:rPr>
            </w:pPr>
            <w:r w:rsidRPr="004826D1">
              <w:rPr>
                <w:rFonts w:eastAsia="Calibri"/>
                <w:szCs w:val="24"/>
              </w:rPr>
              <w:t>Latvijas Universitāte</w:t>
            </w:r>
          </w:p>
        </w:tc>
      </w:tr>
      <w:tr w:rsidR="002536E1" w:rsidRPr="004826D1" w14:paraId="0271FA4F" w14:textId="77777777" w:rsidTr="00987C4A">
        <w:trPr>
          <w:trHeight w:val="278"/>
          <w:jc w:val="center"/>
        </w:trPr>
        <w:tc>
          <w:tcPr>
            <w:tcW w:w="1271" w:type="dxa"/>
            <w:tcMar>
              <w:left w:w="28" w:type="dxa"/>
              <w:right w:w="28" w:type="dxa"/>
            </w:tcMar>
            <w:vAlign w:val="center"/>
          </w:tcPr>
          <w:p w14:paraId="716EAC72" w14:textId="77777777" w:rsidR="002536E1" w:rsidRPr="004826D1" w:rsidRDefault="002536E1" w:rsidP="00987C4A">
            <w:pPr>
              <w:rPr>
                <w:rFonts w:eastAsia="Calibri"/>
                <w:szCs w:val="24"/>
              </w:rPr>
            </w:pPr>
            <w:r w:rsidRPr="004826D1">
              <w:rPr>
                <w:rFonts w:eastAsia="Calibri"/>
                <w:szCs w:val="24"/>
              </w:rPr>
              <w:t>LVĢMC</w:t>
            </w:r>
          </w:p>
        </w:tc>
        <w:tc>
          <w:tcPr>
            <w:tcW w:w="8647" w:type="dxa"/>
            <w:tcMar>
              <w:left w:w="28" w:type="dxa"/>
              <w:right w:w="28" w:type="dxa"/>
            </w:tcMar>
            <w:vAlign w:val="center"/>
          </w:tcPr>
          <w:p w14:paraId="3DDA801F" w14:textId="77777777" w:rsidR="002536E1" w:rsidRPr="004826D1" w:rsidRDefault="002536E1" w:rsidP="00987C4A">
            <w:pPr>
              <w:rPr>
                <w:rFonts w:eastAsia="Calibri"/>
                <w:szCs w:val="24"/>
              </w:rPr>
            </w:pPr>
            <w:r w:rsidRPr="004826D1">
              <w:rPr>
                <w:rFonts w:cs="Times New Roman"/>
              </w:rPr>
              <w:t>SIA “Latvijas Vides, ģeoloģijas un meteoroloģijas centrs”</w:t>
            </w:r>
          </w:p>
        </w:tc>
      </w:tr>
      <w:tr w:rsidR="00AE2C28" w:rsidRPr="004826D1" w14:paraId="190D9123" w14:textId="77777777" w:rsidTr="00987C4A">
        <w:trPr>
          <w:trHeight w:val="278"/>
          <w:jc w:val="center"/>
        </w:trPr>
        <w:tc>
          <w:tcPr>
            <w:tcW w:w="1271" w:type="dxa"/>
            <w:tcMar>
              <w:left w:w="28" w:type="dxa"/>
              <w:right w:w="28" w:type="dxa"/>
            </w:tcMar>
            <w:vAlign w:val="center"/>
          </w:tcPr>
          <w:p w14:paraId="699C6264" w14:textId="77777777" w:rsidR="00AE2C28" w:rsidRPr="004826D1" w:rsidRDefault="00AE2C28" w:rsidP="00987C4A">
            <w:pPr>
              <w:rPr>
                <w:rFonts w:eastAsia="Calibri"/>
                <w:szCs w:val="24"/>
              </w:rPr>
            </w:pPr>
            <w:r w:rsidRPr="004826D1">
              <w:rPr>
                <w:rFonts w:eastAsia="Calibri"/>
                <w:szCs w:val="24"/>
              </w:rPr>
              <w:t>MFF2027</w:t>
            </w:r>
          </w:p>
        </w:tc>
        <w:tc>
          <w:tcPr>
            <w:tcW w:w="8647" w:type="dxa"/>
            <w:tcMar>
              <w:left w:w="28" w:type="dxa"/>
              <w:right w:w="28" w:type="dxa"/>
            </w:tcMar>
            <w:vAlign w:val="center"/>
          </w:tcPr>
          <w:p w14:paraId="2F77914A" w14:textId="77777777" w:rsidR="00AE2C28" w:rsidRPr="004826D1" w:rsidRDefault="00AE2C28" w:rsidP="00987C4A">
            <w:pPr>
              <w:rPr>
                <w:rFonts w:eastAsia="Calibri"/>
                <w:szCs w:val="24"/>
              </w:rPr>
            </w:pPr>
            <w:r w:rsidRPr="004826D1">
              <w:rPr>
                <w:rFonts w:eastAsia="Calibri"/>
                <w:szCs w:val="24"/>
              </w:rPr>
              <w:t>ES daudzgadu budžets 2021.-2027.gadam</w:t>
            </w:r>
          </w:p>
        </w:tc>
      </w:tr>
      <w:tr w:rsidR="00AE2C28" w:rsidRPr="004826D1" w14:paraId="78103625" w14:textId="77777777" w:rsidTr="00987C4A">
        <w:trPr>
          <w:trHeight w:val="278"/>
          <w:jc w:val="center"/>
        </w:trPr>
        <w:tc>
          <w:tcPr>
            <w:tcW w:w="1271" w:type="dxa"/>
            <w:tcMar>
              <w:left w:w="28" w:type="dxa"/>
              <w:right w:w="28" w:type="dxa"/>
            </w:tcMar>
            <w:vAlign w:val="center"/>
            <w:hideMark/>
          </w:tcPr>
          <w:p w14:paraId="3885A99B" w14:textId="77777777" w:rsidR="00AE2C28" w:rsidRPr="004826D1" w:rsidRDefault="00AE2C28" w:rsidP="00987C4A">
            <w:pPr>
              <w:rPr>
                <w:rFonts w:eastAsia="Calibri"/>
                <w:szCs w:val="24"/>
              </w:rPr>
            </w:pPr>
            <w:r w:rsidRPr="004826D1">
              <w:rPr>
                <w:rFonts w:eastAsia="Calibri"/>
                <w:szCs w:val="24"/>
              </w:rPr>
              <w:t>MK</w:t>
            </w:r>
          </w:p>
        </w:tc>
        <w:tc>
          <w:tcPr>
            <w:tcW w:w="8647" w:type="dxa"/>
            <w:tcMar>
              <w:left w:w="28" w:type="dxa"/>
              <w:right w:w="28" w:type="dxa"/>
            </w:tcMar>
            <w:vAlign w:val="center"/>
            <w:hideMark/>
          </w:tcPr>
          <w:p w14:paraId="7AC87A7E" w14:textId="77777777" w:rsidR="00AE2C28" w:rsidRPr="004826D1" w:rsidRDefault="00AE2C28" w:rsidP="00987C4A">
            <w:pPr>
              <w:rPr>
                <w:rFonts w:eastAsia="Calibri"/>
                <w:szCs w:val="24"/>
              </w:rPr>
            </w:pPr>
            <w:r w:rsidRPr="004826D1">
              <w:rPr>
                <w:rFonts w:eastAsia="Calibri"/>
                <w:szCs w:val="24"/>
              </w:rPr>
              <w:t>Ministru kabinets</w:t>
            </w:r>
          </w:p>
        </w:tc>
      </w:tr>
      <w:tr w:rsidR="00AE2C28" w:rsidRPr="004826D1" w14:paraId="45CF853C" w14:textId="77777777" w:rsidTr="00987C4A">
        <w:trPr>
          <w:trHeight w:val="278"/>
          <w:jc w:val="center"/>
        </w:trPr>
        <w:tc>
          <w:tcPr>
            <w:tcW w:w="1271" w:type="dxa"/>
            <w:tcMar>
              <w:left w:w="28" w:type="dxa"/>
              <w:right w:w="28" w:type="dxa"/>
            </w:tcMar>
            <w:vAlign w:val="center"/>
          </w:tcPr>
          <w:p w14:paraId="20FA2BBE" w14:textId="77777777" w:rsidR="00AE2C28" w:rsidRPr="004826D1" w:rsidRDefault="00AE2C28" w:rsidP="00987C4A">
            <w:pPr>
              <w:rPr>
                <w:rFonts w:eastAsia="Calibri"/>
                <w:szCs w:val="24"/>
              </w:rPr>
            </w:pPr>
            <w:r w:rsidRPr="004826D1">
              <w:rPr>
                <w:rFonts w:eastAsia="Calibri"/>
                <w:szCs w:val="24"/>
              </w:rPr>
              <w:t>NIPP2020</w:t>
            </w:r>
          </w:p>
        </w:tc>
        <w:tc>
          <w:tcPr>
            <w:tcW w:w="8647" w:type="dxa"/>
            <w:tcMar>
              <w:left w:w="28" w:type="dxa"/>
              <w:right w:w="28" w:type="dxa"/>
            </w:tcMar>
            <w:vAlign w:val="center"/>
          </w:tcPr>
          <w:p w14:paraId="386CED11" w14:textId="77777777" w:rsidR="00AE2C28" w:rsidRPr="004826D1" w:rsidRDefault="00AE2C28" w:rsidP="00987C4A">
            <w:pPr>
              <w:rPr>
                <w:rFonts w:eastAsia="Calibri"/>
                <w:szCs w:val="24"/>
              </w:rPr>
            </w:pPr>
            <w:r w:rsidRPr="004826D1">
              <w:rPr>
                <w:rFonts w:eastAsia="Calibri"/>
                <w:szCs w:val="24"/>
              </w:rPr>
              <w:t>Nacionālās industriālās politikas pamatnostādnes 2014-2020</w:t>
            </w:r>
          </w:p>
        </w:tc>
      </w:tr>
      <w:tr w:rsidR="00AE2C28" w:rsidRPr="004826D1" w14:paraId="407FD782" w14:textId="77777777" w:rsidTr="00987C4A">
        <w:trPr>
          <w:trHeight w:val="278"/>
          <w:jc w:val="center"/>
        </w:trPr>
        <w:tc>
          <w:tcPr>
            <w:tcW w:w="1271" w:type="dxa"/>
            <w:tcMar>
              <w:left w:w="28" w:type="dxa"/>
              <w:right w:w="28" w:type="dxa"/>
            </w:tcMar>
            <w:vAlign w:val="center"/>
            <w:hideMark/>
          </w:tcPr>
          <w:p w14:paraId="45372364" w14:textId="77777777" w:rsidR="00AE2C28" w:rsidRPr="004826D1" w:rsidRDefault="00AE2C28" w:rsidP="00987C4A">
            <w:pPr>
              <w:rPr>
                <w:szCs w:val="24"/>
              </w:rPr>
            </w:pPr>
            <w:r w:rsidRPr="004826D1">
              <w:rPr>
                <w:szCs w:val="24"/>
              </w:rPr>
              <w:t>NVO</w:t>
            </w:r>
          </w:p>
        </w:tc>
        <w:tc>
          <w:tcPr>
            <w:tcW w:w="8647" w:type="dxa"/>
            <w:tcMar>
              <w:left w:w="28" w:type="dxa"/>
              <w:right w:w="28" w:type="dxa"/>
            </w:tcMar>
            <w:vAlign w:val="center"/>
            <w:hideMark/>
          </w:tcPr>
          <w:p w14:paraId="6F558FF0" w14:textId="77777777" w:rsidR="00AE2C28" w:rsidRPr="004826D1" w:rsidRDefault="00AE2C28" w:rsidP="00987C4A">
            <w:pPr>
              <w:rPr>
                <w:szCs w:val="24"/>
              </w:rPr>
            </w:pPr>
            <w:r w:rsidRPr="004826D1">
              <w:rPr>
                <w:szCs w:val="24"/>
              </w:rPr>
              <w:t>Nevalstiskās organizācijas</w:t>
            </w:r>
          </w:p>
        </w:tc>
      </w:tr>
      <w:tr w:rsidR="00AE2C28" w:rsidRPr="004826D1" w14:paraId="175E6659" w14:textId="77777777" w:rsidTr="00987C4A">
        <w:trPr>
          <w:trHeight w:val="278"/>
          <w:jc w:val="center"/>
        </w:trPr>
        <w:tc>
          <w:tcPr>
            <w:tcW w:w="1271" w:type="dxa"/>
            <w:tcMar>
              <w:left w:w="28" w:type="dxa"/>
              <w:right w:w="28" w:type="dxa"/>
            </w:tcMar>
            <w:vAlign w:val="center"/>
          </w:tcPr>
          <w:p w14:paraId="037B70AB" w14:textId="77777777" w:rsidR="00AE2C28" w:rsidRPr="004826D1" w:rsidRDefault="00AE2C28" w:rsidP="00987C4A">
            <w:pPr>
              <w:rPr>
                <w:rFonts w:eastAsia="Calibri"/>
                <w:szCs w:val="24"/>
              </w:rPr>
            </w:pPr>
            <w:r w:rsidRPr="004826D1">
              <w:rPr>
                <w:rFonts w:eastAsia="Calibri"/>
                <w:szCs w:val="24"/>
              </w:rPr>
              <w:t>OIK</w:t>
            </w:r>
          </w:p>
        </w:tc>
        <w:tc>
          <w:tcPr>
            <w:tcW w:w="8647" w:type="dxa"/>
            <w:tcMar>
              <w:left w:w="28" w:type="dxa"/>
              <w:right w:w="28" w:type="dxa"/>
            </w:tcMar>
            <w:vAlign w:val="center"/>
          </w:tcPr>
          <w:p w14:paraId="319E0CD0" w14:textId="77777777" w:rsidR="00AE2C28" w:rsidRPr="004826D1" w:rsidRDefault="00AE2C28" w:rsidP="00987C4A">
            <w:pPr>
              <w:rPr>
                <w:rFonts w:eastAsia="Calibri"/>
                <w:szCs w:val="24"/>
              </w:rPr>
            </w:pPr>
            <w:r w:rsidRPr="004826D1">
              <w:rPr>
                <w:rFonts w:eastAsia="Calibri"/>
                <w:szCs w:val="24"/>
              </w:rPr>
              <w:t>Obligātā iepirkuma komponente</w:t>
            </w:r>
          </w:p>
        </w:tc>
      </w:tr>
      <w:tr w:rsidR="00AE2C28" w:rsidRPr="004826D1" w14:paraId="7CAF47FE" w14:textId="77777777" w:rsidTr="00987C4A">
        <w:trPr>
          <w:trHeight w:val="264"/>
          <w:jc w:val="center"/>
        </w:trPr>
        <w:tc>
          <w:tcPr>
            <w:tcW w:w="1271" w:type="dxa"/>
            <w:tcMar>
              <w:left w:w="28" w:type="dxa"/>
              <w:right w:w="28" w:type="dxa"/>
            </w:tcMar>
            <w:vAlign w:val="center"/>
          </w:tcPr>
          <w:p w14:paraId="1B89358F" w14:textId="77777777" w:rsidR="00AE2C28" w:rsidRPr="004826D1" w:rsidRDefault="00AE2C28" w:rsidP="00987C4A">
            <w:pPr>
              <w:rPr>
                <w:rFonts w:eastAsia="Calibri"/>
                <w:szCs w:val="24"/>
              </w:rPr>
            </w:pPr>
            <w:r w:rsidRPr="004826D1">
              <w:rPr>
                <w:rFonts w:eastAsia="Calibri"/>
                <w:szCs w:val="24"/>
              </w:rPr>
              <w:t>P&amp;A</w:t>
            </w:r>
          </w:p>
        </w:tc>
        <w:tc>
          <w:tcPr>
            <w:tcW w:w="8647" w:type="dxa"/>
            <w:tcMar>
              <w:left w:w="28" w:type="dxa"/>
              <w:right w:w="28" w:type="dxa"/>
            </w:tcMar>
            <w:vAlign w:val="center"/>
          </w:tcPr>
          <w:p w14:paraId="79D85E87" w14:textId="77777777" w:rsidR="00AE2C28" w:rsidRPr="004826D1" w:rsidRDefault="00AE2C28" w:rsidP="00987C4A">
            <w:pPr>
              <w:jc w:val="both"/>
              <w:rPr>
                <w:rFonts w:eastAsia="Calibri"/>
                <w:szCs w:val="24"/>
              </w:rPr>
            </w:pPr>
            <w:r w:rsidRPr="004826D1">
              <w:rPr>
                <w:rFonts w:eastAsia="Calibri"/>
                <w:szCs w:val="24"/>
              </w:rPr>
              <w:t>Pētniecība un attīstība</w:t>
            </w:r>
          </w:p>
        </w:tc>
      </w:tr>
      <w:tr w:rsidR="00AE2C28" w:rsidRPr="004826D1" w14:paraId="699A7939" w14:textId="77777777" w:rsidTr="00987C4A">
        <w:trPr>
          <w:trHeight w:val="264"/>
          <w:jc w:val="center"/>
        </w:trPr>
        <w:tc>
          <w:tcPr>
            <w:tcW w:w="1271" w:type="dxa"/>
            <w:tcMar>
              <w:left w:w="28" w:type="dxa"/>
              <w:right w:w="28" w:type="dxa"/>
            </w:tcMar>
            <w:vAlign w:val="center"/>
          </w:tcPr>
          <w:p w14:paraId="6B69CB4A" w14:textId="77777777" w:rsidR="00AE2C28" w:rsidRPr="004826D1" w:rsidRDefault="00AE2C28" w:rsidP="00987C4A">
            <w:pPr>
              <w:rPr>
                <w:rFonts w:eastAsia="Calibri"/>
                <w:szCs w:val="24"/>
              </w:rPr>
            </w:pPr>
            <w:r w:rsidRPr="004826D1">
              <w:rPr>
                <w:rFonts w:eastAsia="Calibri"/>
                <w:szCs w:val="24"/>
              </w:rPr>
              <w:t>P&amp;I</w:t>
            </w:r>
          </w:p>
        </w:tc>
        <w:tc>
          <w:tcPr>
            <w:tcW w:w="8647" w:type="dxa"/>
            <w:tcMar>
              <w:left w:w="28" w:type="dxa"/>
              <w:right w:w="28" w:type="dxa"/>
            </w:tcMar>
            <w:vAlign w:val="center"/>
          </w:tcPr>
          <w:p w14:paraId="54A8C500" w14:textId="77777777" w:rsidR="00AE2C28" w:rsidRPr="004826D1" w:rsidRDefault="00AE2C28" w:rsidP="00987C4A">
            <w:pPr>
              <w:jc w:val="both"/>
              <w:rPr>
                <w:rFonts w:eastAsia="Calibri"/>
                <w:szCs w:val="24"/>
              </w:rPr>
            </w:pPr>
            <w:r w:rsidRPr="004826D1">
              <w:rPr>
                <w:rFonts w:eastAsia="Calibri"/>
                <w:szCs w:val="24"/>
              </w:rPr>
              <w:t>Pētniecība un inovācijas</w:t>
            </w:r>
          </w:p>
        </w:tc>
      </w:tr>
      <w:tr w:rsidR="00AE2C28" w:rsidRPr="004826D1" w14:paraId="261A70BB" w14:textId="77777777" w:rsidTr="00987C4A">
        <w:trPr>
          <w:trHeight w:val="278"/>
          <w:jc w:val="center"/>
        </w:trPr>
        <w:tc>
          <w:tcPr>
            <w:tcW w:w="1271" w:type="dxa"/>
            <w:tcMar>
              <w:left w:w="28" w:type="dxa"/>
              <w:right w:w="28" w:type="dxa"/>
            </w:tcMar>
            <w:vAlign w:val="center"/>
            <w:hideMark/>
          </w:tcPr>
          <w:p w14:paraId="662972F2" w14:textId="77777777" w:rsidR="00AE2C28" w:rsidRPr="004826D1" w:rsidRDefault="00AE2C28" w:rsidP="00987C4A">
            <w:pPr>
              <w:rPr>
                <w:rFonts w:eastAsia="TimesNewRoman"/>
                <w:szCs w:val="24"/>
              </w:rPr>
            </w:pPr>
            <w:r w:rsidRPr="004826D1">
              <w:rPr>
                <w:rFonts w:eastAsia="TimesNewRoman"/>
                <w:szCs w:val="24"/>
              </w:rPr>
              <w:t>PKC</w:t>
            </w:r>
          </w:p>
        </w:tc>
        <w:tc>
          <w:tcPr>
            <w:tcW w:w="8647" w:type="dxa"/>
            <w:tcMar>
              <w:left w:w="28" w:type="dxa"/>
              <w:right w:w="28" w:type="dxa"/>
            </w:tcMar>
            <w:vAlign w:val="center"/>
            <w:hideMark/>
          </w:tcPr>
          <w:p w14:paraId="5F2B95B0" w14:textId="77777777" w:rsidR="00AE2C28" w:rsidRPr="004826D1" w:rsidRDefault="00AE2C28" w:rsidP="00987C4A">
            <w:pPr>
              <w:jc w:val="both"/>
              <w:rPr>
                <w:szCs w:val="24"/>
              </w:rPr>
            </w:pPr>
            <w:r w:rsidRPr="004826D1">
              <w:rPr>
                <w:szCs w:val="24"/>
              </w:rPr>
              <w:t>Pārresoru koordinācijas centrs</w:t>
            </w:r>
          </w:p>
        </w:tc>
      </w:tr>
      <w:tr w:rsidR="00AE2C28" w:rsidRPr="004826D1" w14:paraId="17F944E6" w14:textId="77777777" w:rsidTr="00987C4A">
        <w:trPr>
          <w:trHeight w:val="278"/>
          <w:jc w:val="center"/>
        </w:trPr>
        <w:tc>
          <w:tcPr>
            <w:tcW w:w="1271" w:type="dxa"/>
            <w:tcMar>
              <w:left w:w="28" w:type="dxa"/>
              <w:right w:w="28" w:type="dxa"/>
            </w:tcMar>
            <w:vAlign w:val="center"/>
          </w:tcPr>
          <w:p w14:paraId="5F639012" w14:textId="77777777" w:rsidR="00AE2C28" w:rsidRPr="004826D1" w:rsidRDefault="00AE2C28" w:rsidP="00987C4A">
            <w:pPr>
              <w:rPr>
                <w:rFonts w:eastAsia="TimesNewRoman"/>
                <w:szCs w:val="24"/>
              </w:rPr>
            </w:pPr>
            <w:r w:rsidRPr="004826D1">
              <w:rPr>
                <w:rFonts w:eastAsia="TimesNewRoman"/>
                <w:szCs w:val="24"/>
              </w:rPr>
              <w:t>PSO</w:t>
            </w:r>
          </w:p>
        </w:tc>
        <w:tc>
          <w:tcPr>
            <w:tcW w:w="8647" w:type="dxa"/>
            <w:tcMar>
              <w:left w:w="28" w:type="dxa"/>
              <w:right w:w="28" w:type="dxa"/>
            </w:tcMar>
            <w:vAlign w:val="center"/>
          </w:tcPr>
          <w:p w14:paraId="099AF016" w14:textId="77777777" w:rsidR="00AE2C28" w:rsidRPr="004826D1" w:rsidRDefault="00AE2C28" w:rsidP="00987C4A">
            <w:pPr>
              <w:jc w:val="both"/>
              <w:rPr>
                <w:szCs w:val="24"/>
              </w:rPr>
            </w:pPr>
            <w:r w:rsidRPr="004826D1">
              <w:rPr>
                <w:szCs w:val="24"/>
              </w:rPr>
              <w:t>Pārvades sistēmas operators</w:t>
            </w:r>
          </w:p>
        </w:tc>
      </w:tr>
      <w:tr w:rsidR="00AE2C28" w:rsidRPr="004826D1" w14:paraId="6A4A82EF" w14:textId="77777777" w:rsidTr="00987C4A">
        <w:trPr>
          <w:trHeight w:val="278"/>
          <w:jc w:val="center"/>
        </w:trPr>
        <w:tc>
          <w:tcPr>
            <w:tcW w:w="1271" w:type="dxa"/>
            <w:tcMar>
              <w:left w:w="28" w:type="dxa"/>
              <w:right w:w="28" w:type="dxa"/>
            </w:tcMar>
            <w:vAlign w:val="center"/>
          </w:tcPr>
          <w:p w14:paraId="50D4FB47" w14:textId="77777777" w:rsidR="00AE2C28" w:rsidRPr="004826D1" w:rsidRDefault="00AE2C28" w:rsidP="00987C4A">
            <w:pPr>
              <w:rPr>
                <w:rFonts w:eastAsia="TimesNewRoman"/>
                <w:szCs w:val="24"/>
              </w:rPr>
            </w:pPr>
            <w:r w:rsidRPr="004826D1">
              <w:rPr>
                <w:rFonts w:eastAsia="TimesNewRoman"/>
                <w:szCs w:val="24"/>
              </w:rPr>
              <w:t>PVN</w:t>
            </w:r>
          </w:p>
        </w:tc>
        <w:tc>
          <w:tcPr>
            <w:tcW w:w="8647" w:type="dxa"/>
            <w:tcMar>
              <w:left w:w="28" w:type="dxa"/>
              <w:right w:w="28" w:type="dxa"/>
            </w:tcMar>
            <w:vAlign w:val="center"/>
          </w:tcPr>
          <w:p w14:paraId="15B8B6D3" w14:textId="77777777" w:rsidR="00AE2C28" w:rsidRPr="004826D1" w:rsidRDefault="00AE2C28" w:rsidP="00987C4A">
            <w:pPr>
              <w:jc w:val="both"/>
              <w:rPr>
                <w:szCs w:val="24"/>
              </w:rPr>
            </w:pPr>
            <w:r w:rsidRPr="004826D1">
              <w:rPr>
                <w:szCs w:val="24"/>
              </w:rPr>
              <w:t>Pievienotās vērtības nodoklis</w:t>
            </w:r>
          </w:p>
        </w:tc>
      </w:tr>
      <w:tr w:rsidR="00AE2C28" w:rsidRPr="004826D1" w14:paraId="4440D724" w14:textId="77777777" w:rsidTr="00987C4A">
        <w:trPr>
          <w:trHeight w:val="278"/>
          <w:jc w:val="center"/>
        </w:trPr>
        <w:tc>
          <w:tcPr>
            <w:tcW w:w="1271" w:type="dxa"/>
            <w:tcMar>
              <w:left w:w="28" w:type="dxa"/>
              <w:right w:w="28" w:type="dxa"/>
            </w:tcMar>
            <w:vAlign w:val="center"/>
            <w:hideMark/>
          </w:tcPr>
          <w:p w14:paraId="478DF333" w14:textId="77777777" w:rsidR="00AE2C28" w:rsidRPr="004826D1" w:rsidRDefault="00AE2C28" w:rsidP="00987C4A">
            <w:pPr>
              <w:rPr>
                <w:rFonts w:eastAsia="Calibri"/>
                <w:szCs w:val="24"/>
              </w:rPr>
            </w:pPr>
            <w:r w:rsidRPr="004826D1">
              <w:rPr>
                <w:rFonts w:eastAsia="Calibri"/>
                <w:szCs w:val="24"/>
              </w:rPr>
              <w:t>SEG</w:t>
            </w:r>
          </w:p>
        </w:tc>
        <w:tc>
          <w:tcPr>
            <w:tcW w:w="8647" w:type="dxa"/>
            <w:tcMar>
              <w:left w:w="28" w:type="dxa"/>
              <w:right w:w="28" w:type="dxa"/>
            </w:tcMar>
            <w:vAlign w:val="center"/>
            <w:hideMark/>
          </w:tcPr>
          <w:p w14:paraId="2BB7C658" w14:textId="77777777" w:rsidR="00AE2C28" w:rsidRPr="004826D1" w:rsidRDefault="00AE2C28" w:rsidP="00987C4A">
            <w:pPr>
              <w:rPr>
                <w:rFonts w:eastAsia="Calibri"/>
                <w:szCs w:val="24"/>
              </w:rPr>
            </w:pPr>
            <w:r w:rsidRPr="004826D1">
              <w:rPr>
                <w:rFonts w:eastAsia="Calibri"/>
                <w:szCs w:val="24"/>
              </w:rPr>
              <w:t>Siltumnīcefekta gāzes</w:t>
            </w:r>
          </w:p>
        </w:tc>
      </w:tr>
      <w:tr w:rsidR="00AE2C28" w:rsidRPr="004826D1" w14:paraId="42B0323D" w14:textId="77777777" w:rsidTr="00987C4A">
        <w:trPr>
          <w:trHeight w:val="278"/>
          <w:jc w:val="center"/>
        </w:trPr>
        <w:tc>
          <w:tcPr>
            <w:tcW w:w="1271" w:type="dxa"/>
            <w:tcMar>
              <w:left w:w="28" w:type="dxa"/>
              <w:right w:w="28" w:type="dxa"/>
            </w:tcMar>
            <w:vAlign w:val="center"/>
            <w:hideMark/>
          </w:tcPr>
          <w:p w14:paraId="068A4A43" w14:textId="77777777" w:rsidR="00AE2C28" w:rsidRPr="004826D1" w:rsidRDefault="00AE2C28" w:rsidP="00987C4A">
            <w:pPr>
              <w:rPr>
                <w:rFonts w:eastAsia="Calibri"/>
                <w:szCs w:val="24"/>
              </w:rPr>
            </w:pPr>
            <w:r w:rsidRPr="004826D1">
              <w:rPr>
                <w:rFonts w:eastAsia="Calibri"/>
                <w:szCs w:val="24"/>
              </w:rPr>
              <w:t>SM</w:t>
            </w:r>
          </w:p>
        </w:tc>
        <w:tc>
          <w:tcPr>
            <w:tcW w:w="8647" w:type="dxa"/>
            <w:tcMar>
              <w:left w:w="28" w:type="dxa"/>
              <w:right w:w="28" w:type="dxa"/>
            </w:tcMar>
            <w:vAlign w:val="center"/>
            <w:hideMark/>
          </w:tcPr>
          <w:p w14:paraId="024F9913" w14:textId="77777777" w:rsidR="00AE2C28" w:rsidRPr="004826D1" w:rsidRDefault="00AE2C28" w:rsidP="00987C4A">
            <w:pPr>
              <w:rPr>
                <w:rFonts w:eastAsia="Calibri"/>
                <w:szCs w:val="24"/>
              </w:rPr>
            </w:pPr>
            <w:r w:rsidRPr="004826D1">
              <w:rPr>
                <w:rFonts w:eastAsia="Calibri"/>
                <w:szCs w:val="24"/>
              </w:rPr>
              <w:t>Satiksmes ministrija</w:t>
            </w:r>
          </w:p>
        </w:tc>
      </w:tr>
      <w:tr w:rsidR="00AE2C28" w:rsidRPr="004826D1" w14:paraId="3629A07D" w14:textId="77777777" w:rsidTr="00987C4A">
        <w:trPr>
          <w:trHeight w:val="278"/>
          <w:jc w:val="center"/>
        </w:trPr>
        <w:tc>
          <w:tcPr>
            <w:tcW w:w="1271" w:type="dxa"/>
            <w:tcMar>
              <w:left w:w="28" w:type="dxa"/>
              <w:right w:w="28" w:type="dxa"/>
            </w:tcMar>
            <w:vAlign w:val="center"/>
          </w:tcPr>
          <w:p w14:paraId="7C841AD0" w14:textId="77777777" w:rsidR="00AE2C28" w:rsidRPr="004826D1" w:rsidRDefault="00AE2C28" w:rsidP="00987C4A">
            <w:pPr>
              <w:rPr>
                <w:rFonts w:eastAsia="Calibri"/>
                <w:szCs w:val="24"/>
              </w:rPr>
            </w:pPr>
            <w:r w:rsidRPr="004826D1">
              <w:rPr>
                <w:rFonts w:eastAsia="Calibri"/>
                <w:szCs w:val="24"/>
              </w:rPr>
              <w:t>SPRK</w:t>
            </w:r>
          </w:p>
        </w:tc>
        <w:tc>
          <w:tcPr>
            <w:tcW w:w="8647" w:type="dxa"/>
            <w:tcMar>
              <w:left w:w="28" w:type="dxa"/>
              <w:right w:w="28" w:type="dxa"/>
            </w:tcMar>
            <w:vAlign w:val="center"/>
          </w:tcPr>
          <w:p w14:paraId="7305876F" w14:textId="77777777" w:rsidR="00AE2C28" w:rsidRPr="004826D1" w:rsidRDefault="00AE2C28" w:rsidP="00987C4A">
            <w:pPr>
              <w:rPr>
                <w:rFonts w:eastAsia="Calibri"/>
                <w:szCs w:val="24"/>
              </w:rPr>
            </w:pPr>
            <w:r w:rsidRPr="004826D1">
              <w:rPr>
                <w:rFonts w:eastAsia="Calibri"/>
                <w:szCs w:val="24"/>
              </w:rPr>
              <w:t>Sabiedrisko pakalpojumu regulēšanas komisija</w:t>
            </w:r>
          </w:p>
        </w:tc>
      </w:tr>
      <w:tr w:rsidR="00AE2C28" w:rsidRPr="004826D1" w14:paraId="7F3BFDD8" w14:textId="77777777" w:rsidTr="00987C4A">
        <w:trPr>
          <w:trHeight w:val="278"/>
          <w:jc w:val="center"/>
        </w:trPr>
        <w:tc>
          <w:tcPr>
            <w:tcW w:w="1271" w:type="dxa"/>
            <w:tcMar>
              <w:left w:w="28" w:type="dxa"/>
              <w:right w:w="28" w:type="dxa"/>
            </w:tcMar>
            <w:vAlign w:val="center"/>
          </w:tcPr>
          <w:p w14:paraId="75FEBC4A" w14:textId="77777777" w:rsidR="00AE2C28" w:rsidRPr="004826D1" w:rsidRDefault="00AE2C28" w:rsidP="00987C4A">
            <w:pPr>
              <w:rPr>
                <w:rFonts w:eastAsia="Calibri"/>
                <w:szCs w:val="24"/>
              </w:rPr>
            </w:pPr>
            <w:r w:rsidRPr="004826D1">
              <w:rPr>
                <w:rFonts w:eastAsia="Calibri"/>
                <w:szCs w:val="24"/>
              </w:rPr>
              <w:t>TEN</w:t>
            </w:r>
          </w:p>
        </w:tc>
        <w:tc>
          <w:tcPr>
            <w:tcW w:w="8647" w:type="dxa"/>
            <w:tcMar>
              <w:left w:w="28" w:type="dxa"/>
              <w:right w:w="28" w:type="dxa"/>
            </w:tcMar>
            <w:vAlign w:val="center"/>
          </w:tcPr>
          <w:p w14:paraId="488A5DC4" w14:textId="77777777" w:rsidR="00AE2C28" w:rsidRPr="004826D1" w:rsidRDefault="00AE2C28" w:rsidP="00987C4A">
            <w:pPr>
              <w:rPr>
                <w:rFonts w:eastAsia="Calibri"/>
                <w:szCs w:val="24"/>
              </w:rPr>
            </w:pPr>
            <w:r w:rsidRPr="004826D1">
              <w:rPr>
                <w:rFonts w:eastAsia="Calibri"/>
                <w:szCs w:val="24"/>
              </w:rPr>
              <w:t>Transportlīdzekļa ekspluatācijas nodoklis</w:t>
            </w:r>
          </w:p>
        </w:tc>
      </w:tr>
      <w:tr w:rsidR="00AE2C28" w:rsidRPr="004826D1" w14:paraId="2E571234" w14:textId="77777777" w:rsidTr="00987C4A">
        <w:trPr>
          <w:trHeight w:val="264"/>
          <w:jc w:val="center"/>
        </w:trPr>
        <w:tc>
          <w:tcPr>
            <w:tcW w:w="1271" w:type="dxa"/>
            <w:tcMar>
              <w:left w:w="28" w:type="dxa"/>
              <w:right w:w="28" w:type="dxa"/>
            </w:tcMar>
            <w:vAlign w:val="center"/>
            <w:hideMark/>
          </w:tcPr>
          <w:p w14:paraId="3B8638E9" w14:textId="77777777" w:rsidR="00AE2C28" w:rsidRPr="004826D1" w:rsidRDefault="00AE2C28" w:rsidP="00987C4A">
            <w:pPr>
              <w:rPr>
                <w:rFonts w:eastAsia="Calibri"/>
                <w:szCs w:val="24"/>
              </w:rPr>
            </w:pPr>
            <w:r w:rsidRPr="004826D1">
              <w:rPr>
                <w:rFonts w:eastAsia="Calibri"/>
                <w:szCs w:val="24"/>
              </w:rPr>
              <w:t>VARAM</w:t>
            </w:r>
          </w:p>
        </w:tc>
        <w:tc>
          <w:tcPr>
            <w:tcW w:w="8647" w:type="dxa"/>
            <w:tcMar>
              <w:left w:w="28" w:type="dxa"/>
              <w:right w:w="28" w:type="dxa"/>
            </w:tcMar>
            <w:vAlign w:val="center"/>
            <w:hideMark/>
          </w:tcPr>
          <w:p w14:paraId="27421CC9" w14:textId="77777777" w:rsidR="00AE2C28" w:rsidRPr="004826D1" w:rsidRDefault="00AE2C28" w:rsidP="00987C4A">
            <w:pPr>
              <w:rPr>
                <w:rFonts w:eastAsia="Calibri"/>
                <w:szCs w:val="24"/>
              </w:rPr>
            </w:pPr>
            <w:r w:rsidRPr="004826D1">
              <w:rPr>
                <w:rFonts w:eastAsia="Calibri"/>
                <w:szCs w:val="24"/>
              </w:rPr>
              <w:t>Vides aizsardzības un reģionālās attīstības ministrija</w:t>
            </w:r>
          </w:p>
        </w:tc>
      </w:tr>
      <w:tr w:rsidR="00AE2C28" w:rsidRPr="004826D1" w14:paraId="4EC6D168" w14:textId="77777777" w:rsidTr="00987C4A">
        <w:trPr>
          <w:trHeight w:val="264"/>
          <w:jc w:val="center"/>
        </w:trPr>
        <w:tc>
          <w:tcPr>
            <w:tcW w:w="1271" w:type="dxa"/>
            <w:tcMar>
              <w:left w:w="28" w:type="dxa"/>
              <w:right w:w="28" w:type="dxa"/>
            </w:tcMar>
            <w:vAlign w:val="center"/>
          </w:tcPr>
          <w:p w14:paraId="5D621DCB" w14:textId="77777777" w:rsidR="00AE2C28" w:rsidRPr="004826D1" w:rsidRDefault="00AE2C28" w:rsidP="00987C4A">
            <w:pPr>
              <w:rPr>
                <w:rFonts w:eastAsia="Calibri"/>
                <w:szCs w:val="24"/>
              </w:rPr>
            </w:pPr>
            <w:r w:rsidRPr="004826D1">
              <w:rPr>
                <w:rFonts w:eastAsia="Calibri"/>
                <w:szCs w:val="24"/>
              </w:rPr>
              <w:t>VES</w:t>
            </w:r>
          </w:p>
        </w:tc>
        <w:tc>
          <w:tcPr>
            <w:tcW w:w="8647" w:type="dxa"/>
            <w:tcMar>
              <w:left w:w="28" w:type="dxa"/>
              <w:right w:w="28" w:type="dxa"/>
            </w:tcMar>
            <w:vAlign w:val="center"/>
          </w:tcPr>
          <w:p w14:paraId="181DEAD6" w14:textId="77777777" w:rsidR="00AE2C28" w:rsidRPr="004826D1" w:rsidRDefault="00AE2C28" w:rsidP="00987C4A">
            <w:pPr>
              <w:rPr>
                <w:rFonts w:eastAsia="Calibri"/>
                <w:szCs w:val="24"/>
              </w:rPr>
            </w:pPr>
            <w:r w:rsidRPr="004826D1">
              <w:rPr>
                <w:rFonts w:eastAsia="Calibri"/>
                <w:szCs w:val="24"/>
              </w:rPr>
              <w:t>Vēja elektrostacijas</w:t>
            </w:r>
          </w:p>
        </w:tc>
      </w:tr>
      <w:tr w:rsidR="00AE2C28" w:rsidRPr="004826D1" w14:paraId="3F657B45" w14:textId="77777777" w:rsidTr="00987C4A">
        <w:trPr>
          <w:trHeight w:val="278"/>
          <w:jc w:val="center"/>
        </w:trPr>
        <w:tc>
          <w:tcPr>
            <w:tcW w:w="1271" w:type="dxa"/>
            <w:tcMar>
              <w:left w:w="28" w:type="dxa"/>
              <w:right w:w="28" w:type="dxa"/>
            </w:tcMar>
            <w:vAlign w:val="center"/>
          </w:tcPr>
          <w:p w14:paraId="3C5C6F6E" w14:textId="77777777" w:rsidR="00AE2C28" w:rsidRPr="004826D1" w:rsidRDefault="00AE2C28" w:rsidP="00987C4A">
            <w:pPr>
              <w:rPr>
                <w:rFonts w:eastAsia="Calibri"/>
                <w:szCs w:val="24"/>
              </w:rPr>
            </w:pPr>
            <w:r w:rsidRPr="004826D1">
              <w:rPr>
                <w:rFonts w:eastAsia="Calibri"/>
                <w:szCs w:val="24"/>
              </w:rPr>
              <w:t>VPP</w:t>
            </w:r>
          </w:p>
        </w:tc>
        <w:tc>
          <w:tcPr>
            <w:tcW w:w="8647" w:type="dxa"/>
            <w:tcMar>
              <w:left w:w="28" w:type="dxa"/>
              <w:right w:w="28" w:type="dxa"/>
            </w:tcMar>
            <w:vAlign w:val="center"/>
          </w:tcPr>
          <w:p w14:paraId="412B90F9" w14:textId="77777777" w:rsidR="00AE2C28" w:rsidRPr="004826D1" w:rsidRDefault="00AE2C28" w:rsidP="00987C4A">
            <w:pPr>
              <w:rPr>
                <w:rFonts w:eastAsia="Calibri"/>
                <w:szCs w:val="24"/>
              </w:rPr>
            </w:pPr>
            <w:r w:rsidRPr="004826D1">
              <w:rPr>
                <w:rFonts w:eastAsia="Calibri"/>
                <w:szCs w:val="24"/>
              </w:rPr>
              <w:t>Valsts pētījumu programma</w:t>
            </w:r>
          </w:p>
        </w:tc>
      </w:tr>
      <w:tr w:rsidR="00AE2C28" w:rsidRPr="004826D1" w14:paraId="623811B8" w14:textId="77777777" w:rsidTr="00987C4A">
        <w:trPr>
          <w:trHeight w:val="278"/>
          <w:jc w:val="center"/>
        </w:trPr>
        <w:tc>
          <w:tcPr>
            <w:tcW w:w="1271" w:type="dxa"/>
            <w:tcMar>
              <w:left w:w="28" w:type="dxa"/>
              <w:right w:w="28" w:type="dxa"/>
            </w:tcMar>
            <w:vAlign w:val="center"/>
          </w:tcPr>
          <w:p w14:paraId="3336E59A" w14:textId="77777777" w:rsidR="00AE2C28" w:rsidRPr="004826D1" w:rsidRDefault="00AE2C28" w:rsidP="00987C4A">
            <w:pPr>
              <w:rPr>
                <w:rFonts w:eastAsia="Calibri"/>
                <w:szCs w:val="24"/>
              </w:rPr>
            </w:pPr>
            <w:r w:rsidRPr="004826D1">
              <w:rPr>
                <w:rFonts w:eastAsia="Calibri"/>
                <w:szCs w:val="24"/>
              </w:rPr>
              <w:t>ZIZIMM</w:t>
            </w:r>
          </w:p>
        </w:tc>
        <w:tc>
          <w:tcPr>
            <w:tcW w:w="8647" w:type="dxa"/>
            <w:tcMar>
              <w:left w:w="28" w:type="dxa"/>
              <w:right w:w="28" w:type="dxa"/>
            </w:tcMar>
            <w:vAlign w:val="center"/>
          </w:tcPr>
          <w:p w14:paraId="5C130F1F" w14:textId="77777777" w:rsidR="00AE2C28" w:rsidRPr="004826D1" w:rsidRDefault="00AE2C28" w:rsidP="00987C4A">
            <w:pPr>
              <w:rPr>
                <w:rFonts w:eastAsia="Calibri"/>
                <w:szCs w:val="24"/>
              </w:rPr>
            </w:pPr>
            <w:r w:rsidRPr="004826D1">
              <w:rPr>
                <w:rFonts w:eastAsia="Calibri"/>
                <w:szCs w:val="24"/>
              </w:rPr>
              <w:t>Zemes izmantošana, zemes izmantošanas maiņa un mežsaimniecība</w:t>
            </w:r>
          </w:p>
        </w:tc>
      </w:tr>
      <w:tr w:rsidR="00AE2C28" w:rsidRPr="004826D1" w14:paraId="29A37BAD" w14:textId="77777777" w:rsidTr="00987C4A">
        <w:trPr>
          <w:trHeight w:val="278"/>
          <w:jc w:val="center"/>
        </w:trPr>
        <w:tc>
          <w:tcPr>
            <w:tcW w:w="1271" w:type="dxa"/>
            <w:tcMar>
              <w:left w:w="28" w:type="dxa"/>
              <w:right w:w="28" w:type="dxa"/>
            </w:tcMar>
            <w:vAlign w:val="center"/>
            <w:hideMark/>
          </w:tcPr>
          <w:p w14:paraId="1C0CAA8B" w14:textId="77777777" w:rsidR="00AE2C28" w:rsidRPr="004826D1" w:rsidRDefault="00AE2C28" w:rsidP="00987C4A">
            <w:pPr>
              <w:rPr>
                <w:rFonts w:eastAsia="Calibri"/>
                <w:szCs w:val="24"/>
              </w:rPr>
            </w:pPr>
            <w:r w:rsidRPr="004826D1">
              <w:rPr>
                <w:rFonts w:eastAsia="Calibri"/>
                <w:szCs w:val="24"/>
              </w:rPr>
              <w:t>ZM</w:t>
            </w:r>
          </w:p>
        </w:tc>
        <w:tc>
          <w:tcPr>
            <w:tcW w:w="8647" w:type="dxa"/>
            <w:tcMar>
              <w:left w:w="28" w:type="dxa"/>
              <w:right w:w="28" w:type="dxa"/>
            </w:tcMar>
            <w:vAlign w:val="center"/>
            <w:hideMark/>
          </w:tcPr>
          <w:p w14:paraId="2CF76326" w14:textId="77777777" w:rsidR="00AE2C28" w:rsidRPr="004826D1" w:rsidRDefault="00AE2C28" w:rsidP="00987C4A">
            <w:pPr>
              <w:rPr>
                <w:rFonts w:eastAsia="Calibri"/>
                <w:szCs w:val="24"/>
              </w:rPr>
            </w:pPr>
            <w:r w:rsidRPr="004826D1">
              <w:rPr>
                <w:rFonts w:eastAsia="Calibri"/>
                <w:szCs w:val="24"/>
              </w:rPr>
              <w:t>Zemkopības ministrija</w:t>
            </w:r>
          </w:p>
        </w:tc>
      </w:tr>
    </w:tbl>
    <w:p w14:paraId="7FCC71A3" w14:textId="77777777" w:rsidR="00AE2C28" w:rsidRPr="004826D1" w:rsidRDefault="00AE2C28" w:rsidP="00AE2C28"/>
    <w:p w14:paraId="61307997" w14:textId="77777777" w:rsidR="00EC5ADD" w:rsidRPr="004826D1" w:rsidRDefault="00EC5ADD" w:rsidP="00EC5ADD">
      <w:pPr>
        <w:rPr>
          <w:rFonts w:cs="Times New Roman"/>
          <w:b/>
          <w:sz w:val="28"/>
        </w:rPr>
      </w:pPr>
      <w:r w:rsidRPr="004826D1">
        <w:rPr>
          <w:rFonts w:cs="Times New Roman"/>
          <w:b/>
          <w:sz w:val="28"/>
        </w:rPr>
        <w:br w:type="page"/>
      </w:r>
    </w:p>
    <w:p w14:paraId="1BB58DF8" w14:textId="77777777" w:rsidR="00EC5ADD" w:rsidRPr="004826D1" w:rsidRDefault="00EC5ADD" w:rsidP="00EC5ADD">
      <w:pPr>
        <w:pStyle w:val="Heading1"/>
        <w:rPr>
          <w:rFonts w:ascii="Times New Roman" w:hAnsi="Times New Roman"/>
          <w:lang w:val="lv-LV"/>
        </w:rPr>
      </w:pPr>
      <w:bookmarkStart w:id="5" w:name="_Toc169602225"/>
      <w:r w:rsidRPr="004826D1">
        <w:rPr>
          <w:rFonts w:ascii="Times New Roman" w:hAnsi="Times New Roman"/>
          <w:lang w:val="lv-LV"/>
        </w:rPr>
        <w:lastRenderedPageBreak/>
        <w:t>1. Kopsavilkums</w:t>
      </w:r>
      <w:bookmarkEnd w:id="5"/>
      <w:r w:rsidR="00654484" w:rsidRPr="004826D1">
        <w:rPr>
          <w:rFonts w:ascii="Times New Roman" w:hAnsi="Times New Roman"/>
          <w:lang w:val="lv-LV"/>
        </w:rPr>
        <w:t xml:space="preserve"> </w:t>
      </w:r>
    </w:p>
    <w:p w14:paraId="1F141D17" w14:textId="77777777" w:rsidR="00EC5ADD" w:rsidRPr="004826D1" w:rsidRDefault="00EC5ADD" w:rsidP="00EC5ADD">
      <w:pPr>
        <w:rPr>
          <w:rFonts w:cs="Times New Roman"/>
          <w:lang w:eastAsia="en-GB"/>
        </w:rPr>
      </w:pPr>
    </w:p>
    <w:p w14:paraId="61ACC575" w14:textId="77777777" w:rsidR="00283985" w:rsidRPr="004826D1" w:rsidRDefault="00366708" w:rsidP="00283985">
      <w:pPr>
        <w:spacing w:before="120" w:after="120"/>
        <w:jc w:val="both"/>
      </w:pPr>
      <w:r w:rsidRPr="004826D1">
        <w:rPr>
          <w:rFonts w:cs="Times New Roman"/>
          <w:szCs w:val="24"/>
        </w:rPr>
        <w:t>Nacionālais enerģētikas un klimata plāns 2021.-2030.gadam (turpmāk – Plāns) ir dokuments ilgtermiņa termiņa politikas plānošanai, kas izstrādāts saskaņā ar Ministru kabineta 2016.gada 3.maija rīkojumu Nr.275 “Par Valdības rīcības plānu Deklarācijas par Māra Kučinska vadītā Ministru kabineta iecerēto darbību īstenošanai”</w:t>
      </w:r>
      <w:r w:rsidRPr="004826D1">
        <w:rPr>
          <w:rStyle w:val="FootnoteReference"/>
          <w:szCs w:val="24"/>
        </w:rPr>
        <w:footnoteReference w:id="1"/>
      </w:r>
      <w:r w:rsidRPr="004826D1">
        <w:rPr>
          <w:rFonts w:cs="Times New Roman"/>
          <w:szCs w:val="24"/>
        </w:rPr>
        <w:t xml:space="preserve"> (deklarācijā dotā uzdevuma numurs 013, Pasākuma numurs 13.2)</w:t>
      </w:r>
      <w:r w:rsidR="00283985" w:rsidRPr="004826D1">
        <w:rPr>
          <w:rFonts w:cs="Times New Roman"/>
          <w:szCs w:val="24"/>
        </w:rPr>
        <w:t xml:space="preserve"> un </w:t>
      </w:r>
      <w:r w:rsidR="00283985" w:rsidRPr="004826D1">
        <w:rPr>
          <w:szCs w:val="24"/>
        </w:rPr>
        <w:t>Ministru kabineta 2019. gada 7.maija rīkojumu Nr.210 “Par Valdības rīcības plānu Deklarācijas par Artura Krišjāņa Kariņa vadītā Ministru kabineta iecerēto darbību īstenošanai”</w:t>
      </w:r>
      <w:r w:rsidR="00283985" w:rsidRPr="004826D1">
        <w:rPr>
          <w:rStyle w:val="FootnoteReference"/>
          <w:rFonts w:eastAsia="Calibri" w:cs="Calibri"/>
          <w:szCs w:val="24"/>
        </w:rPr>
        <w:footnoteReference w:id="2"/>
      </w:r>
      <w:r w:rsidR="00283985" w:rsidRPr="004826D1">
        <w:rPr>
          <w:szCs w:val="24"/>
        </w:rPr>
        <w:t xml:space="preserve"> (deklarācijā dotā uzdevuma numurs 062, Pasākuma numurs 62.1). </w:t>
      </w:r>
      <w:r w:rsidR="00283985" w:rsidRPr="004826D1">
        <w:t>Plāns ir jāievieš, primāri ievērojot tautsaimniecības attīstības un enerģētikas un klimata mērķus.</w:t>
      </w:r>
    </w:p>
    <w:p w14:paraId="3C200BFF" w14:textId="75658B59" w:rsidR="00283985" w:rsidRPr="004826D1" w:rsidRDefault="00283985" w:rsidP="00283985">
      <w:pPr>
        <w:spacing w:before="120" w:after="120"/>
        <w:jc w:val="both"/>
        <w:rPr>
          <w:rFonts w:eastAsia="Calibri"/>
          <w:color w:val="000000"/>
          <w:szCs w:val="24"/>
        </w:rPr>
      </w:pPr>
      <w:r w:rsidRPr="004826D1">
        <w:rPr>
          <w:rFonts w:eastAsia="Calibri"/>
          <w:bCs/>
          <w:szCs w:val="24"/>
        </w:rPr>
        <w:t>Plāna izstrādi nosaka ES līmeņa dokuments – Eiropas Parlamenta un Padomes 2018.gada 11.decembra regula Nr.2018/1999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kur</w:t>
      </w:r>
      <w:r w:rsidR="00857535">
        <w:rPr>
          <w:rFonts w:eastAsia="Calibri"/>
          <w:bCs/>
          <w:szCs w:val="24"/>
        </w:rPr>
        <w:t xml:space="preserve"> </w:t>
      </w:r>
      <w:r w:rsidRPr="004826D1">
        <w:rPr>
          <w:rFonts w:eastAsia="Calibri"/>
          <w:color w:val="000000"/>
          <w:szCs w:val="24"/>
        </w:rPr>
        <w:t>Regula 2018/1999 nosaka gan Plānā iekļaujamo informāciju (Regulas 2018/1999 3.-12.pants), gan arī Plāna saturu (Regulas 2018/1999 I un III pielikums). Tāpēc Plāns ir izstrādāts pilnībā ņemot vērā Regulas 2018/1999 nosacījumus un, piemērojot MK 2014. gada 2. decembra noteikumu Nr.737 “Attīstības plānošanas dokumentu izstrādes un ietekmes izvērtēšanas noteikumi” 6.punktu, pēc iespējas ņemot vērā šajos MK noteikumos noteiktos nosacījumus politikas plānošanas dokumenta veidam – plāns.</w:t>
      </w:r>
    </w:p>
    <w:p w14:paraId="3478FE18" w14:textId="77777777" w:rsidR="00283985" w:rsidRPr="004826D1" w:rsidRDefault="00283985" w:rsidP="00283985">
      <w:pPr>
        <w:pBdr>
          <w:top w:val="single" w:sz="24" w:space="1" w:color="002060"/>
          <w:bottom w:val="single" w:sz="24" w:space="1" w:color="002060"/>
        </w:pBdr>
        <w:spacing w:before="120" w:after="120"/>
        <w:jc w:val="center"/>
        <w:rPr>
          <w:rFonts w:eastAsia="Calibri"/>
          <w:b/>
          <w:bCs/>
          <w:color w:val="000000"/>
          <w:szCs w:val="24"/>
        </w:rPr>
      </w:pPr>
      <w:r w:rsidRPr="004826D1">
        <w:rPr>
          <w:rFonts w:eastAsia="Calibri"/>
          <w:b/>
          <w:bCs/>
          <w:color w:val="000000"/>
          <w:szCs w:val="24"/>
        </w:rPr>
        <w:t>Plāna ilgtermiņa vīzija ir ilgtspējīgā, konkurētspējīgā un drošā veidā veicināt ilgtspējīgas tautsaimniecības attīstību.</w:t>
      </w:r>
    </w:p>
    <w:p w14:paraId="20B8AAFF" w14:textId="77777777" w:rsidR="00B77C55" w:rsidRPr="004826D1" w:rsidRDefault="00B77C55" w:rsidP="00B77C5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 xml:space="preserve">Plāns ir politikas plānošanas dokuments, kas jāievieš ilgtermiņā, primāri ievērojot tautsaimniecības attīstības un enerģētikas un klimata mērķus. Plānā ir jāņem vērā daudzi paredzami faktori (ekonomiskais cikliskums) un neparedzami faktori, kā arī ģeopolitiskās attīstības scenāriji (politiskā mainība un neprognozējamā globālā situācija). </w:t>
      </w:r>
    </w:p>
    <w:p w14:paraId="6784CF07" w14:textId="77777777" w:rsidR="00B77C55" w:rsidRPr="004826D1" w:rsidRDefault="00B77C55" w:rsidP="00B77C5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Plānā izvērtēt</w:t>
      </w:r>
      <w:r w:rsidR="00585674" w:rsidRPr="004826D1">
        <w:rPr>
          <w:rFonts w:ascii="Times New Roman" w:hAnsi="Times New Roman"/>
          <w:color w:val="auto"/>
          <w:sz w:val="24"/>
          <w:szCs w:val="24"/>
        </w:rPr>
        <w:t>a</w:t>
      </w:r>
      <w:r w:rsidRPr="004826D1">
        <w:rPr>
          <w:rFonts w:ascii="Times New Roman" w:hAnsi="Times New Roman"/>
          <w:color w:val="auto"/>
          <w:sz w:val="24"/>
          <w:szCs w:val="24"/>
        </w:rPr>
        <w:t xml:space="preserve"> tā mērķu sasniegšanai noteikto pasākumu ekonomiskā ietekme – nepieciešamās investīcijas un iespējamie ieguvumi, izmaksu efektivitāte</w:t>
      </w:r>
      <w:r w:rsidR="00585674" w:rsidRPr="004826D1">
        <w:rPr>
          <w:rFonts w:ascii="Times New Roman" w:hAnsi="Times New Roman"/>
          <w:color w:val="auto"/>
          <w:sz w:val="24"/>
          <w:szCs w:val="24"/>
        </w:rPr>
        <w:t xml:space="preserve"> –</w:t>
      </w:r>
      <w:r w:rsidRPr="004826D1">
        <w:rPr>
          <w:rFonts w:ascii="Times New Roman" w:hAnsi="Times New Roman"/>
          <w:color w:val="auto"/>
          <w:sz w:val="24"/>
          <w:szCs w:val="24"/>
        </w:rPr>
        <w:t>, līdz ar to secinām</w:t>
      </w:r>
      <w:r w:rsidR="00585674" w:rsidRPr="004826D1">
        <w:rPr>
          <w:rFonts w:ascii="Times New Roman" w:hAnsi="Times New Roman"/>
          <w:color w:val="auto"/>
          <w:sz w:val="24"/>
          <w:szCs w:val="24"/>
        </w:rPr>
        <w:t>s</w:t>
      </w:r>
      <w:r w:rsidRPr="004826D1">
        <w:rPr>
          <w:rFonts w:ascii="Times New Roman" w:hAnsi="Times New Roman"/>
          <w:color w:val="auto"/>
          <w:sz w:val="24"/>
          <w:szCs w:val="24"/>
        </w:rPr>
        <w:t>, kāda ir plāna kopējā ietekme uz Latvijas tautsaimniecību (ietekme uz iekšzemes kopproduktu) un līdz ar to arī sociālekonomiskā ietekme uz Latvijas sabiedrību. Kopējās nozaru vajadzības un pasākumi, kuru īstenošanai plānots virzīt ES fondu līdzekļus, izriet no Nacionālā attīstības plāna 2021.-2027.gada plānošanas periodam, kā to nosaka Attīstības plānošanas sistēmas likuma 11.panta 3.</w:t>
      </w:r>
      <w:r w:rsidRPr="004826D1">
        <w:rPr>
          <w:rFonts w:ascii="Times New Roman" w:hAnsi="Times New Roman"/>
          <w:color w:val="auto"/>
          <w:sz w:val="24"/>
          <w:szCs w:val="24"/>
          <w:vertAlign w:val="superscript"/>
        </w:rPr>
        <w:t>1</w:t>
      </w:r>
      <w:r w:rsidRPr="004826D1">
        <w:rPr>
          <w:rFonts w:ascii="Times New Roman" w:hAnsi="Times New Roman"/>
          <w:color w:val="auto"/>
          <w:sz w:val="24"/>
          <w:szCs w:val="24"/>
        </w:rPr>
        <w:t xml:space="preserve"> daļa</w:t>
      </w:r>
      <w:r w:rsidRPr="004826D1">
        <w:rPr>
          <w:rStyle w:val="FootnoteReference"/>
          <w:rFonts w:ascii="Times New Roman" w:hAnsi="Times New Roman"/>
          <w:color w:val="auto"/>
          <w:sz w:val="24"/>
          <w:szCs w:val="24"/>
        </w:rPr>
        <w:footnoteReference w:id="3"/>
      </w:r>
      <w:r w:rsidRPr="004826D1">
        <w:rPr>
          <w:rFonts w:ascii="Times New Roman" w:hAnsi="Times New Roman"/>
          <w:color w:val="auto"/>
          <w:sz w:val="24"/>
          <w:szCs w:val="24"/>
        </w:rPr>
        <w:t>. Nacionālais attīstības plāns ir noteikts kā ilgtermiņa plānošanas dokuments, kas hierarhiski ir augstākais vidēja termiņa attīstības plānošanas dokuments. Savukārt ES politiku instrumentu un ārvalstu finanšu palīdzību regulējošos attīstības plānošanas dokumentos iekļaujamo saturu prioritāri balsta uz Nacio</w:t>
      </w:r>
      <w:r w:rsidR="00585674" w:rsidRPr="004826D1">
        <w:rPr>
          <w:rFonts w:ascii="Times New Roman" w:hAnsi="Times New Roman"/>
          <w:color w:val="auto"/>
          <w:sz w:val="24"/>
          <w:szCs w:val="24"/>
        </w:rPr>
        <w:t>nālajā attīstības plānā noteiktā</w:t>
      </w:r>
      <w:r w:rsidRPr="004826D1">
        <w:rPr>
          <w:rFonts w:ascii="Times New Roman" w:hAnsi="Times New Roman"/>
          <w:color w:val="auto"/>
          <w:sz w:val="24"/>
          <w:szCs w:val="24"/>
        </w:rPr>
        <w:t>.</w:t>
      </w:r>
    </w:p>
    <w:p w14:paraId="6D0729F0" w14:textId="77777777" w:rsidR="00B77C55" w:rsidRPr="004826D1" w:rsidRDefault="00B77C55" w:rsidP="00B77C5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 xml:space="preserve">Plānā iekļautie pasākumi vērtēti </w:t>
      </w:r>
      <w:r w:rsidR="00585674" w:rsidRPr="004826D1">
        <w:rPr>
          <w:rFonts w:ascii="Times New Roman" w:hAnsi="Times New Roman"/>
          <w:color w:val="auto"/>
          <w:sz w:val="24"/>
          <w:szCs w:val="24"/>
        </w:rPr>
        <w:t xml:space="preserve">arī </w:t>
      </w:r>
      <w:r w:rsidRPr="004826D1">
        <w:rPr>
          <w:rFonts w:ascii="Times New Roman" w:hAnsi="Times New Roman"/>
          <w:color w:val="auto"/>
          <w:sz w:val="24"/>
          <w:szCs w:val="24"/>
        </w:rPr>
        <w:t>pēc to ietekmes uz vidi un uz sabiedrību</w:t>
      </w:r>
      <w:r w:rsidR="00BA5A79" w:rsidRPr="004826D1">
        <w:rPr>
          <w:rFonts w:ascii="Times New Roman" w:hAnsi="Times New Roman"/>
          <w:color w:val="auto"/>
          <w:sz w:val="24"/>
          <w:szCs w:val="24"/>
        </w:rPr>
        <w:t xml:space="preserve">: </w:t>
      </w:r>
      <w:r w:rsidRPr="004826D1">
        <w:rPr>
          <w:rFonts w:ascii="Times New Roman" w:hAnsi="Times New Roman"/>
          <w:color w:val="auto"/>
          <w:sz w:val="24"/>
          <w:szCs w:val="24"/>
        </w:rPr>
        <w:t xml:space="preserve">pozitīvā ietekme izpaužas kā sabiedrības </w:t>
      </w:r>
      <w:r w:rsidR="00BA5A79" w:rsidRPr="004826D1">
        <w:rPr>
          <w:rFonts w:ascii="Times New Roman" w:hAnsi="Times New Roman"/>
          <w:color w:val="auto"/>
          <w:sz w:val="24"/>
          <w:szCs w:val="24"/>
        </w:rPr>
        <w:t>dzīves</w:t>
      </w:r>
      <w:r w:rsidRPr="004826D1">
        <w:rPr>
          <w:rFonts w:ascii="Times New Roman" w:hAnsi="Times New Roman"/>
          <w:color w:val="auto"/>
          <w:sz w:val="24"/>
          <w:szCs w:val="24"/>
        </w:rPr>
        <w:t xml:space="preserve">vides, t.sk. sociālās vides, uzlabošanās, bet negatīvā </w:t>
      </w:r>
      <w:r w:rsidR="00BA5A79" w:rsidRPr="004826D1">
        <w:rPr>
          <w:rFonts w:ascii="Times New Roman" w:hAnsi="Times New Roman"/>
          <w:color w:val="auto"/>
          <w:sz w:val="24"/>
          <w:szCs w:val="24"/>
        </w:rPr>
        <w:t>–</w:t>
      </w:r>
      <w:r w:rsidRPr="004826D1">
        <w:rPr>
          <w:rFonts w:ascii="Times New Roman" w:hAnsi="Times New Roman"/>
          <w:color w:val="auto"/>
          <w:sz w:val="24"/>
          <w:szCs w:val="24"/>
        </w:rPr>
        <w:t xml:space="preserve"> kā </w:t>
      </w:r>
      <w:r w:rsidRPr="004826D1">
        <w:rPr>
          <w:rFonts w:ascii="Times New Roman" w:hAnsi="Times New Roman"/>
          <w:color w:val="auto"/>
          <w:sz w:val="24"/>
          <w:szCs w:val="24"/>
        </w:rPr>
        <w:lastRenderedPageBreak/>
        <w:t>ietekme uz sabiedrības (mājsaimniecību) izmaksām</w:t>
      </w:r>
      <w:r w:rsidR="00A13D8D" w:rsidRPr="004826D1">
        <w:rPr>
          <w:rFonts w:ascii="Times New Roman" w:hAnsi="Times New Roman"/>
          <w:color w:val="auto"/>
          <w:sz w:val="24"/>
          <w:szCs w:val="24"/>
        </w:rPr>
        <w:t xml:space="preserve"> un potenciāli, nedaudz – arī uz bioloģisko daudzveidību.</w:t>
      </w:r>
    </w:p>
    <w:p w14:paraId="46E0D9B1" w14:textId="77777777" w:rsidR="00B77C55" w:rsidRPr="004826D1" w:rsidRDefault="00B77C55" w:rsidP="00B77C55">
      <w:pPr>
        <w:pStyle w:val="Default"/>
        <w:spacing w:before="120" w:after="120"/>
        <w:jc w:val="both"/>
        <w:rPr>
          <w:rFonts w:ascii="Times New Roman" w:hAnsi="Times New Roman"/>
          <w:sz w:val="24"/>
          <w:szCs w:val="24"/>
        </w:rPr>
      </w:pPr>
      <w:r w:rsidRPr="004826D1">
        <w:rPr>
          <w:rFonts w:ascii="Times New Roman" w:hAnsi="Times New Roman"/>
          <w:sz w:val="24"/>
          <w:szCs w:val="24"/>
        </w:rPr>
        <w:t>Plāns ir izstrādāts, ņemot vērā pieejamās un izstrādē esošās un prognozētās jaunākās tehnoloģijas, ekonomikas un tautsaimniecības sektoru attīstības tendences un plānus, enerģētikas un SEG emisiju prognozes, izmantojot pēdējos pieejamos datus, kā pamata gadu izvēloties 2016. gadu.</w:t>
      </w:r>
    </w:p>
    <w:p w14:paraId="3B0C3EBB" w14:textId="77777777" w:rsidR="00B77C55" w:rsidRPr="004826D1" w:rsidRDefault="00B77C55" w:rsidP="00B77C55">
      <w:pPr>
        <w:spacing w:before="120" w:after="120"/>
        <w:jc w:val="both"/>
        <w:rPr>
          <w:rFonts w:eastAsia="Calibri" w:cs="Times New Roman"/>
          <w:color w:val="000000"/>
          <w:szCs w:val="24"/>
        </w:rPr>
      </w:pPr>
      <w:r w:rsidRPr="004826D1">
        <w:rPr>
          <w:rFonts w:eastAsia="Calibri" w:cs="Times New Roman"/>
          <w:bCs/>
          <w:szCs w:val="24"/>
        </w:rPr>
        <w:t xml:space="preserve">Tā kā Plāna izstrādi nosaka ES līmeņa dokuments – </w:t>
      </w:r>
      <w:r w:rsidRPr="004826D1">
        <w:rPr>
          <w:rFonts w:eastAsia="Calibri" w:cs="Times New Roman"/>
          <w:szCs w:val="24"/>
        </w:rPr>
        <w:t>EnS pārvaldības regula</w:t>
      </w:r>
      <w:r w:rsidRPr="004826D1">
        <w:rPr>
          <w:rFonts w:eastAsia="Calibri" w:cs="Times New Roman"/>
          <w:color w:val="000000"/>
          <w:szCs w:val="24"/>
        </w:rPr>
        <w:t>, šis politikas plānošanas dokuments ir sagatavots, ievērojot Ministru kabineta 2014.</w:t>
      </w:r>
      <w:r w:rsidR="006824CD" w:rsidRPr="004826D1">
        <w:rPr>
          <w:rFonts w:eastAsia="Calibri" w:cs="Times New Roman"/>
          <w:color w:val="000000"/>
          <w:szCs w:val="24"/>
        </w:rPr>
        <w:t> </w:t>
      </w:r>
      <w:r w:rsidRPr="004826D1">
        <w:rPr>
          <w:rFonts w:eastAsia="Calibri" w:cs="Times New Roman"/>
          <w:color w:val="000000"/>
          <w:szCs w:val="24"/>
        </w:rPr>
        <w:t>gada 2.</w:t>
      </w:r>
      <w:r w:rsidR="006824CD" w:rsidRPr="004826D1">
        <w:rPr>
          <w:rFonts w:eastAsia="Calibri" w:cs="Times New Roman"/>
          <w:color w:val="000000"/>
          <w:szCs w:val="24"/>
        </w:rPr>
        <w:t> </w:t>
      </w:r>
      <w:r w:rsidRPr="004826D1">
        <w:rPr>
          <w:rFonts w:eastAsia="Calibri" w:cs="Times New Roman"/>
          <w:color w:val="000000"/>
          <w:szCs w:val="24"/>
        </w:rPr>
        <w:t>decembra noteikumu Nr.737 “Attīstības plānošanas dokumentu izstrādes un ietekmes izvērtēšanas noteikumi” 6.punktu, pēc iespējas Plānu izstrādājot atbilstoši šajos Ministru kabineta noteikumos noteiktajiem nosacījumiem politikas plānošanas dokumenta veidam</w:t>
      </w:r>
      <w:r w:rsidR="008A1514" w:rsidRPr="004826D1">
        <w:rPr>
          <w:rFonts w:eastAsia="Calibri" w:cs="Times New Roman"/>
          <w:color w:val="000000"/>
          <w:szCs w:val="24"/>
        </w:rPr>
        <w:t>:</w:t>
      </w:r>
      <w:r w:rsidRPr="004826D1">
        <w:rPr>
          <w:rFonts w:eastAsia="Calibri" w:cs="Times New Roman"/>
          <w:color w:val="000000"/>
          <w:szCs w:val="24"/>
        </w:rPr>
        <w:t xml:space="preserve"> </w:t>
      </w:r>
      <w:r w:rsidR="008A1514" w:rsidRPr="004826D1">
        <w:rPr>
          <w:rFonts w:eastAsia="Calibri" w:cs="Times New Roman"/>
          <w:color w:val="000000"/>
          <w:szCs w:val="24"/>
        </w:rPr>
        <w:t>“</w:t>
      </w:r>
      <w:r w:rsidRPr="004826D1">
        <w:rPr>
          <w:rFonts w:eastAsia="Calibri" w:cs="Times New Roman"/>
          <w:color w:val="000000"/>
          <w:szCs w:val="24"/>
        </w:rPr>
        <w:t>plāns</w:t>
      </w:r>
      <w:r w:rsidR="008A1514" w:rsidRPr="004826D1">
        <w:rPr>
          <w:rFonts w:eastAsia="Calibri" w:cs="Times New Roman"/>
          <w:color w:val="000000"/>
          <w:szCs w:val="24"/>
        </w:rPr>
        <w:t>”</w:t>
      </w:r>
      <w:r w:rsidRPr="004826D1">
        <w:rPr>
          <w:rFonts w:eastAsia="Calibri" w:cs="Times New Roman"/>
          <w:color w:val="000000"/>
          <w:szCs w:val="24"/>
        </w:rPr>
        <w:t>.</w:t>
      </w:r>
    </w:p>
    <w:p w14:paraId="5FCF6732" w14:textId="77777777" w:rsidR="0060398D" w:rsidRPr="004826D1" w:rsidRDefault="00977054" w:rsidP="00061FDB">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 xml:space="preserve">Plāns </w:t>
      </w:r>
      <w:r w:rsidR="00061FDB" w:rsidRPr="004826D1">
        <w:rPr>
          <w:rFonts w:ascii="Times New Roman" w:hAnsi="Times New Roman"/>
          <w:color w:val="auto"/>
          <w:sz w:val="24"/>
          <w:szCs w:val="24"/>
        </w:rPr>
        <w:t>ir apstiprināts ar Ministru kabineta 2020. gada 4. februāra rīkojumu Nr.4 “Par Latvijas Nacionālo enerģētikas un klimata plānu 2021.–2030. gadam”.</w:t>
      </w:r>
    </w:p>
    <w:p w14:paraId="32B6CC25"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Šī joprojām spēkā esošā Plāna redakcija ir balstīta faktiskajā situācijā tā izstrādes laikā (2018.-2019. g.). Ievērojot pēdējo gadu dinamiskos globālos notikumus – globālā pandēmija, enerģijas cenu kritums, karš Ukrainā un ar to saistītais enerģijas cenu nepieredzētais kāpums – un šo notikumu ietekmi gan uz ES, gan nacionālo tautsaimniecību un regulējumu, aktualizējot Plānu, papildus iepriekš iecerēto pasākumu efektivitātes izvērtējamam, vērā ņemts sekojošais:</w:t>
      </w:r>
    </w:p>
    <w:p w14:paraId="29C27F42"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Klimata pārmaiņu mazināšanas un enerģētikas politikas ambīciju paaugstināšana ES līmenī;</w:t>
      </w:r>
    </w:p>
    <w:p w14:paraId="2598DC52"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Jaunie ES līmeņa ne-ETS darbību SEG emisiju, ZIZIMM un enerģētikas politikas mērķi;</w:t>
      </w:r>
    </w:p>
    <w:p w14:paraId="74490B5B"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Latvijas līdzšinējais progress klimata pārmaiņu mazināšanas un enerģētikas politikas mērķu sasniegšanā un novērtējums par šī progresa atbilstību esošajiem un jaunajiem Plānā ietvertajiem mērķiem;</w:t>
      </w:r>
    </w:p>
    <w:p w14:paraId="31458C88"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No nozaru ministrijām saņemtie papildu pasākumi jauno un ambiciozāko klimata un enerģētikas politiku mērķu sasniegšanai;</w:t>
      </w:r>
    </w:p>
    <w:p w14:paraId="542D1B97"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ES līmeņa jauno atbalsta finansēšanas mehānismu finansējums un tajā atbalstītās darbības un pasākumi.</w:t>
      </w:r>
    </w:p>
    <w:p w14:paraId="6188560E" w14:textId="77777777" w:rsidR="00061FDB"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Aktualizētā Plāna projekta kopsavilkums tika iesniegts EK izvērtēšanai un rekomendāciju sniegšanai, un 05.12.2023. MK sēdē skatītā Plāna projekts bija pamata dokuments diskusijām ar sabiedrību, iesaistītajām pusēm, nozaru ministrijām un citām institūcijām, kas tika nodrošinātas 2024. g. 1. pusgadā, pēc kurām aktualizētā Plāna projekts tika būtiski precizēts, tika aktualizēti un papildināti mērķrādītāji un to sasniegšanai nepieciešamo pasākumu saraksts, kā arī tika izstrādāts pasākumu ietekmes uz mērķrādītājiem un sociālekonomisko situāciju izvērtējums, un tajā tika iestrādātas EK rekomendācijas.</w:t>
      </w:r>
    </w:p>
    <w:p w14:paraId="465A4DFF" w14:textId="77777777" w:rsidR="001206B9" w:rsidRPr="004826D1" w:rsidRDefault="001206B9" w:rsidP="00245E00">
      <w:pPr>
        <w:spacing w:before="120" w:after="120"/>
        <w:jc w:val="both"/>
        <w:rPr>
          <w:rFonts w:cs="Times New Roman"/>
          <w:color w:val="000000"/>
          <w:szCs w:val="24"/>
          <w:shd w:val="clear" w:color="auto" w:fill="FFFFFF"/>
        </w:rPr>
      </w:pPr>
    </w:p>
    <w:p w14:paraId="116F1398" w14:textId="77777777" w:rsidR="00B77C55" w:rsidRPr="004826D1" w:rsidRDefault="00B77C55" w:rsidP="00366708">
      <w:pPr>
        <w:spacing w:before="120" w:after="120"/>
        <w:jc w:val="both"/>
        <w:rPr>
          <w:rFonts w:cs="Times New Roman"/>
          <w:szCs w:val="24"/>
        </w:rPr>
      </w:pPr>
    </w:p>
    <w:p w14:paraId="6D4F6D88" w14:textId="77777777" w:rsidR="00DF6782" w:rsidRPr="004826D1" w:rsidRDefault="00DF6782" w:rsidP="00B57A9D">
      <w:pPr>
        <w:spacing w:after="120"/>
        <w:jc w:val="both"/>
      </w:pPr>
    </w:p>
    <w:p w14:paraId="1B29E6E8" w14:textId="77777777" w:rsidR="00EC5ADD" w:rsidRPr="004826D1" w:rsidRDefault="00EC5ADD" w:rsidP="00EC5ADD">
      <w:pPr>
        <w:rPr>
          <w:rFonts w:cs="Times New Roman"/>
          <w:lang w:eastAsia="en-GB"/>
        </w:rPr>
      </w:pPr>
    </w:p>
    <w:p w14:paraId="318C065C" w14:textId="77777777" w:rsidR="00787A9E" w:rsidRPr="004826D1" w:rsidRDefault="00787A9E" w:rsidP="00EC5ADD">
      <w:pPr>
        <w:rPr>
          <w:rFonts w:cs="Times New Roman"/>
          <w:lang w:eastAsia="en-GB"/>
        </w:rPr>
      </w:pPr>
    </w:p>
    <w:p w14:paraId="63DCB41D" w14:textId="77777777" w:rsidR="00EC5ADD" w:rsidRPr="004826D1" w:rsidRDefault="00001EAE" w:rsidP="00EC5ADD">
      <w:pPr>
        <w:pStyle w:val="Heading1"/>
        <w:rPr>
          <w:rFonts w:ascii="Times New Roman" w:hAnsi="Times New Roman"/>
          <w:lang w:val="lv-LV"/>
        </w:rPr>
      </w:pPr>
      <w:r w:rsidRPr="004826D1">
        <w:rPr>
          <w:rFonts w:ascii="Times New Roman" w:hAnsi="Times New Roman"/>
          <w:lang w:val="lv-LV"/>
        </w:rPr>
        <w:br w:type="page"/>
      </w:r>
      <w:bookmarkStart w:id="6" w:name="_Toc169602226"/>
      <w:r w:rsidR="00EC5ADD" w:rsidRPr="004826D1">
        <w:rPr>
          <w:rFonts w:ascii="Times New Roman" w:hAnsi="Times New Roman"/>
          <w:lang w:val="lv-LV"/>
        </w:rPr>
        <w:lastRenderedPageBreak/>
        <w:t>2. SIVN mērķis</w:t>
      </w:r>
      <w:bookmarkEnd w:id="6"/>
      <w:r w:rsidR="00EC5ADD" w:rsidRPr="004826D1">
        <w:rPr>
          <w:rFonts w:ascii="Times New Roman" w:hAnsi="Times New Roman"/>
          <w:lang w:val="lv-LV"/>
        </w:rPr>
        <w:tab/>
      </w:r>
    </w:p>
    <w:p w14:paraId="24F69B52" w14:textId="77777777" w:rsidR="00EC5ADD" w:rsidRPr="004826D1" w:rsidRDefault="00EC5ADD" w:rsidP="00EC5ADD">
      <w:pPr>
        <w:rPr>
          <w:rFonts w:cs="Times New Roman"/>
        </w:rPr>
      </w:pPr>
    </w:p>
    <w:p w14:paraId="23B16A03" w14:textId="77777777" w:rsidR="00001EAE" w:rsidRPr="004826D1" w:rsidRDefault="00001EAE" w:rsidP="00001EAE">
      <w:pPr>
        <w:pStyle w:val="Default"/>
        <w:spacing w:before="120" w:after="120"/>
        <w:jc w:val="both"/>
        <w:rPr>
          <w:rFonts w:ascii="Times New Roman" w:hAnsi="Times New Roman"/>
          <w:sz w:val="24"/>
          <w:szCs w:val="24"/>
        </w:rPr>
      </w:pPr>
      <w:r w:rsidRPr="004826D1">
        <w:rPr>
          <w:rFonts w:ascii="Times New Roman" w:hAnsi="Times New Roman"/>
          <w:sz w:val="24"/>
          <w:szCs w:val="24"/>
        </w:rPr>
        <w:t>Plānam tiek izstrādāts šis stratēģiskais ietekmes uz vidi novērtējums</w:t>
      </w:r>
      <w:r w:rsidR="00365F0C" w:rsidRPr="004826D1">
        <w:rPr>
          <w:rFonts w:ascii="Times New Roman" w:hAnsi="Times New Roman"/>
          <w:sz w:val="24"/>
          <w:szCs w:val="24"/>
        </w:rPr>
        <w:t xml:space="preserve"> (turpmāk – SIVN)</w:t>
      </w:r>
      <w:r w:rsidRPr="004826D1">
        <w:rPr>
          <w:rFonts w:ascii="Times New Roman" w:hAnsi="Times New Roman"/>
          <w:sz w:val="24"/>
          <w:szCs w:val="24"/>
        </w:rPr>
        <w:t xml:space="preserve"> likuma “Par ietekmes uz vidi novērtējumu” un Ministru kabineta 2004. gada 23. marta noteikumu Nr.157 “Kārtība, kādā veicams ietekmes uz vidi stratēģiskais novērtējums” kārtībā, kā ietvaros izvērtēta Plāna kā politikas plānošanas dokumenta ietekme uz vidi.</w:t>
      </w:r>
    </w:p>
    <w:p w14:paraId="683CCB08" w14:textId="77777777" w:rsidR="00EC5ADD" w:rsidRPr="004826D1" w:rsidRDefault="00365F0C" w:rsidP="00210E13">
      <w:pPr>
        <w:spacing w:after="120"/>
        <w:jc w:val="both"/>
        <w:rPr>
          <w:rFonts w:cs="Times New Roman"/>
        </w:rPr>
      </w:pPr>
      <w:r w:rsidRPr="004826D1">
        <w:rPr>
          <w:rFonts w:cs="Times New Roman"/>
        </w:rPr>
        <w:t>SIVN</w:t>
      </w:r>
      <w:r w:rsidR="00A947AA" w:rsidRPr="004826D1">
        <w:rPr>
          <w:rFonts w:cs="Times New Roman"/>
        </w:rPr>
        <w:t xml:space="preserve"> </w:t>
      </w:r>
      <w:r w:rsidR="00EC5ADD" w:rsidRPr="004826D1">
        <w:rPr>
          <w:rFonts w:cs="Times New Roman"/>
        </w:rPr>
        <w:t xml:space="preserve">mērķis ir integrēt vides aspektus </w:t>
      </w:r>
      <w:r w:rsidR="00A947AA" w:rsidRPr="004826D1">
        <w:rPr>
          <w:rFonts w:cs="Times New Roman"/>
        </w:rPr>
        <w:t>Plānā</w:t>
      </w:r>
      <w:r w:rsidR="00EC5ADD" w:rsidRPr="004826D1">
        <w:rPr>
          <w:rFonts w:cs="Times New Roman"/>
        </w:rPr>
        <w:t>, analītiski izvērtējot to mijiedarbību ar ekonomiskiem un sociāliem apstākļiem, kā arī noskaidrojot un ņemot vērā ieinteresēto pušu viedokli</w:t>
      </w:r>
      <w:r w:rsidR="004F0720" w:rsidRPr="004826D1">
        <w:rPr>
          <w:rFonts w:cs="Times New Roman"/>
        </w:rPr>
        <w:t>,</w:t>
      </w:r>
      <w:r w:rsidR="00EC5ADD" w:rsidRPr="004826D1">
        <w:rPr>
          <w:rFonts w:cs="Times New Roman"/>
        </w:rPr>
        <w:t xml:space="preserve"> </w:t>
      </w:r>
      <w:r w:rsidR="000F14CB" w:rsidRPr="004826D1">
        <w:rPr>
          <w:rFonts w:cs="Times New Roman"/>
        </w:rPr>
        <w:t>apzināt</w:t>
      </w:r>
      <w:r w:rsidR="00EC5ADD" w:rsidRPr="004826D1">
        <w:rPr>
          <w:rFonts w:cs="Times New Roman"/>
        </w:rPr>
        <w:t xml:space="preserve"> plānošanas dokumenta un tā realizācijas alternatīvu ietekmi uz vidi, kā arī veicināt sabiedrības līdzdalību plānošanas dokumenta izstrādē.</w:t>
      </w:r>
    </w:p>
    <w:p w14:paraId="7F45D8DB" w14:textId="77777777" w:rsidR="00210E13" w:rsidRPr="004826D1" w:rsidRDefault="000F14CB" w:rsidP="00210E13">
      <w:pPr>
        <w:spacing w:after="120"/>
        <w:jc w:val="both"/>
      </w:pPr>
      <w:r w:rsidRPr="004826D1">
        <w:t>P</w:t>
      </w:r>
      <w:r w:rsidR="00210E13" w:rsidRPr="004826D1">
        <w:t>lānā paredzamā attīstība pēc būtības ir videi draudzīga</w:t>
      </w:r>
      <w:r w:rsidR="004F0720" w:rsidRPr="004826D1">
        <w:t>,</w:t>
      </w:r>
      <w:r w:rsidR="00210E13" w:rsidRPr="004826D1">
        <w:t xml:space="preserve"> un tās ietekmei uz vidi kopumā jābūt pozitīvai</w:t>
      </w:r>
      <w:r w:rsidR="0049444D" w:rsidRPr="004826D1">
        <w:t xml:space="preserve">, tomēr </w:t>
      </w:r>
      <w:r w:rsidR="00300ABB" w:rsidRPr="004826D1">
        <w:t>minēt</w:t>
      </w:r>
      <w:r w:rsidR="00F72A6F" w:rsidRPr="004826D1">
        <w:t>ie</w:t>
      </w:r>
      <w:r w:rsidR="00300ABB" w:rsidRPr="004826D1">
        <w:t xml:space="preserve"> MK noteikum</w:t>
      </w:r>
      <w:r w:rsidR="00F72A6F" w:rsidRPr="004826D1">
        <w:t xml:space="preserve">i paredz šādam Plānam veikt stratēģisko ietekmes uz vidi novērtējumu atbilstoši </w:t>
      </w:r>
      <w:r w:rsidR="00300ABB" w:rsidRPr="004826D1">
        <w:t>2.1. punktā norādītajam “nacionālā līmeņa attīstības plānošanas dokumentiem” ar precizējumu 2.1.1. punktā “nozaru politikas pamatnostādnēm”.</w:t>
      </w:r>
    </w:p>
    <w:p w14:paraId="359D396D" w14:textId="77777777" w:rsidR="00210E13" w:rsidRPr="004826D1" w:rsidRDefault="00210E13" w:rsidP="00EC5ADD">
      <w:pPr>
        <w:jc w:val="both"/>
        <w:rPr>
          <w:rFonts w:cs="Times New Roman"/>
        </w:rPr>
      </w:pPr>
    </w:p>
    <w:p w14:paraId="6BB0EBC7" w14:textId="77777777" w:rsidR="00EC5ADD" w:rsidRPr="004826D1" w:rsidRDefault="00EC5ADD" w:rsidP="00EC5ADD">
      <w:pPr>
        <w:rPr>
          <w:rFonts w:cs="Times New Roman"/>
          <w:lang w:eastAsia="en-GB"/>
        </w:rPr>
      </w:pPr>
    </w:p>
    <w:p w14:paraId="7D5221AF" w14:textId="77777777" w:rsidR="00787A9E" w:rsidRPr="004826D1" w:rsidRDefault="00787A9E" w:rsidP="00EC5ADD">
      <w:pPr>
        <w:rPr>
          <w:rFonts w:cs="Times New Roman"/>
          <w:lang w:eastAsia="en-GB"/>
        </w:rPr>
      </w:pPr>
    </w:p>
    <w:p w14:paraId="52E32218" w14:textId="77777777" w:rsidR="00787A9E" w:rsidRPr="004826D1" w:rsidRDefault="00787A9E" w:rsidP="00EC5ADD">
      <w:pPr>
        <w:rPr>
          <w:rFonts w:cs="Times New Roman"/>
          <w:lang w:eastAsia="en-GB"/>
        </w:rPr>
      </w:pPr>
    </w:p>
    <w:p w14:paraId="6E9FE5BB" w14:textId="77777777" w:rsidR="00787A9E" w:rsidRPr="004826D1" w:rsidRDefault="00787A9E" w:rsidP="00EC5ADD">
      <w:pPr>
        <w:rPr>
          <w:rFonts w:cs="Times New Roman"/>
          <w:lang w:eastAsia="en-GB"/>
        </w:rPr>
      </w:pPr>
    </w:p>
    <w:p w14:paraId="073D302C" w14:textId="77777777" w:rsidR="00787A9E" w:rsidRPr="004826D1" w:rsidRDefault="00787A9E" w:rsidP="00EC5ADD">
      <w:pPr>
        <w:rPr>
          <w:rFonts w:cs="Times New Roman"/>
          <w:lang w:eastAsia="en-GB"/>
        </w:rPr>
      </w:pPr>
    </w:p>
    <w:p w14:paraId="516DB790" w14:textId="77777777" w:rsidR="00787A9E" w:rsidRPr="004826D1" w:rsidRDefault="00787A9E" w:rsidP="00EC5ADD">
      <w:pPr>
        <w:rPr>
          <w:rFonts w:cs="Times New Roman"/>
          <w:lang w:eastAsia="en-GB"/>
        </w:rPr>
      </w:pPr>
    </w:p>
    <w:p w14:paraId="7927F643" w14:textId="77777777" w:rsidR="00787A9E" w:rsidRPr="004826D1" w:rsidRDefault="00787A9E" w:rsidP="00EC5ADD">
      <w:pPr>
        <w:rPr>
          <w:rFonts w:cs="Times New Roman"/>
          <w:lang w:eastAsia="en-GB"/>
        </w:rPr>
      </w:pPr>
    </w:p>
    <w:p w14:paraId="0D1F5836" w14:textId="77777777" w:rsidR="00787A9E" w:rsidRPr="004826D1" w:rsidRDefault="00787A9E" w:rsidP="00EC5ADD">
      <w:pPr>
        <w:rPr>
          <w:rFonts w:cs="Times New Roman"/>
          <w:lang w:eastAsia="en-GB"/>
        </w:rPr>
      </w:pPr>
    </w:p>
    <w:p w14:paraId="0687CA71" w14:textId="77777777" w:rsidR="00787A9E" w:rsidRPr="004826D1" w:rsidRDefault="00787A9E" w:rsidP="00EC5ADD">
      <w:pPr>
        <w:rPr>
          <w:rFonts w:cs="Times New Roman"/>
          <w:lang w:eastAsia="en-GB"/>
        </w:rPr>
      </w:pPr>
    </w:p>
    <w:p w14:paraId="226DF4B8" w14:textId="77777777" w:rsidR="00787A9E" w:rsidRPr="004826D1" w:rsidRDefault="00787A9E" w:rsidP="00EC5ADD">
      <w:pPr>
        <w:rPr>
          <w:rFonts w:cs="Times New Roman"/>
          <w:lang w:eastAsia="en-GB"/>
        </w:rPr>
      </w:pPr>
    </w:p>
    <w:p w14:paraId="6F51FC00" w14:textId="77777777" w:rsidR="00787A9E" w:rsidRPr="004826D1" w:rsidRDefault="00787A9E" w:rsidP="00EC5ADD">
      <w:pPr>
        <w:rPr>
          <w:rFonts w:cs="Times New Roman"/>
          <w:lang w:eastAsia="en-GB"/>
        </w:rPr>
      </w:pPr>
    </w:p>
    <w:p w14:paraId="373D7EF1" w14:textId="77777777" w:rsidR="00787A9E" w:rsidRPr="004826D1" w:rsidRDefault="00787A9E" w:rsidP="00EC5ADD">
      <w:pPr>
        <w:rPr>
          <w:rFonts w:cs="Times New Roman"/>
          <w:lang w:eastAsia="en-GB"/>
        </w:rPr>
      </w:pPr>
    </w:p>
    <w:p w14:paraId="4D3BAF9A" w14:textId="77777777" w:rsidR="00787A9E" w:rsidRPr="004826D1" w:rsidRDefault="00787A9E" w:rsidP="00EC5ADD">
      <w:pPr>
        <w:rPr>
          <w:rFonts w:cs="Times New Roman"/>
          <w:lang w:eastAsia="en-GB"/>
        </w:rPr>
      </w:pPr>
    </w:p>
    <w:p w14:paraId="05CC8ECD" w14:textId="77777777" w:rsidR="00787A9E" w:rsidRPr="004826D1" w:rsidRDefault="00787A9E" w:rsidP="00EC5ADD">
      <w:pPr>
        <w:rPr>
          <w:rFonts w:cs="Times New Roman"/>
          <w:lang w:eastAsia="en-GB"/>
        </w:rPr>
      </w:pPr>
    </w:p>
    <w:p w14:paraId="138EF883" w14:textId="77777777" w:rsidR="00787A9E" w:rsidRPr="004826D1" w:rsidRDefault="00787A9E" w:rsidP="00EC5ADD">
      <w:pPr>
        <w:rPr>
          <w:rFonts w:cs="Times New Roman"/>
          <w:lang w:eastAsia="en-GB"/>
        </w:rPr>
      </w:pPr>
    </w:p>
    <w:p w14:paraId="6EE0693E" w14:textId="77777777" w:rsidR="00787A9E" w:rsidRPr="004826D1" w:rsidRDefault="00787A9E" w:rsidP="00EC5ADD">
      <w:pPr>
        <w:rPr>
          <w:rFonts w:cs="Times New Roman"/>
          <w:lang w:eastAsia="en-GB"/>
        </w:rPr>
      </w:pPr>
    </w:p>
    <w:p w14:paraId="32325D72" w14:textId="77777777" w:rsidR="00EC5ADD" w:rsidRPr="004826D1" w:rsidRDefault="00B03F7F" w:rsidP="00EC5ADD">
      <w:pPr>
        <w:pStyle w:val="Heading1"/>
        <w:rPr>
          <w:rFonts w:ascii="Times New Roman" w:hAnsi="Times New Roman"/>
          <w:lang w:val="lv-LV"/>
        </w:rPr>
      </w:pPr>
      <w:r w:rsidRPr="004826D1">
        <w:rPr>
          <w:rFonts w:ascii="Times New Roman" w:hAnsi="Times New Roman"/>
          <w:lang w:val="lv-LV"/>
        </w:rPr>
        <w:br w:type="page"/>
      </w:r>
      <w:bookmarkStart w:id="7" w:name="_Toc169602227"/>
      <w:r w:rsidR="00EC5ADD" w:rsidRPr="004826D1">
        <w:rPr>
          <w:rFonts w:ascii="Times New Roman" w:hAnsi="Times New Roman"/>
          <w:lang w:val="lv-LV"/>
        </w:rPr>
        <w:lastRenderedPageBreak/>
        <w:t xml:space="preserve">3. </w:t>
      </w:r>
      <w:r w:rsidR="00654484" w:rsidRPr="004826D1">
        <w:rPr>
          <w:rFonts w:ascii="Times New Roman" w:hAnsi="Times New Roman"/>
          <w:lang w:val="lv-LV"/>
        </w:rPr>
        <w:t>Plāna pamatojums vides politikā, likumdošanas un plānošanas ietvarā</w:t>
      </w:r>
      <w:bookmarkEnd w:id="7"/>
    </w:p>
    <w:p w14:paraId="5137A3DF" w14:textId="77777777" w:rsidR="004D5A26" w:rsidRPr="004826D1" w:rsidRDefault="004D5A26" w:rsidP="00B179AB">
      <w:pPr>
        <w:rPr>
          <w:rStyle w:val="Emphasis"/>
        </w:rPr>
      </w:pPr>
    </w:p>
    <w:p w14:paraId="5E968A76" w14:textId="77777777" w:rsidR="00EC5ADD" w:rsidRPr="004826D1" w:rsidRDefault="00EC5ADD" w:rsidP="00EC5ADD">
      <w:pPr>
        <w:pStyle w:val="Heading2"/>
        <w:rPr>
          <w:rFonts w:ascii="Times New Roman" w:hAnsi="Times New Roman"/>
          <w:lang w:val="lv-LV"/>
        </w:rPr>
      </w:pPr>
      <w:bookmarkStart w:id="8" w:name="_Toc169602228"/>
      <w:r w:rsidRPr="004826D1">
        <w:rPr>
          <w:rFonts w:ascii="Times New Roman" w:hAnsi="Times New Roman"/>
          <w:lang w:val="lv-LV"/>
        </w:rPr>
        <w:t>3.1 P</w:t>
      </w:r>
      <w:r w:rsidR="007E0B51" w:rsidRPr="004826D1">
        <w:rPr>
          <w:rFonts w:ascii="Times New Roman" w:hAnsi="Times New Roman"/>
          <w:lang w:val="lv-LV"/>
        </w:rPr>
        <w:t>lāna</w:t>
      </w:r>
      <w:r w:rsidRPr="004826D1">
        <w:rPr>
          <w:rFonts w:ascii="Times New Roman" w:hAnsi="Times New Roman"/>
          <w:lang w:val="lv-LV"/>
        </w:rPr>
        <w:t xml:space="preserve"> nepieciešamība</w:t>
      </w:r>
      <w:bookmarkEnd w:id="8"/>
    </w:p>
    <w:p w14:paraId="504AB2A6" w14:textId="77777777" w:rsidR="00EC5ADD" w:rsidRPr="004826D1" w:rsidRDefault="00EC5ADD" w:rsidP="00EC5ADD">
      <w:pPr>
        <w:rPr>
          <w:rFonts w:cs="Times New Roman"/>
          <w:color w:val="FF0000"/>
          <w:lang w:eastAsia="en-GB"/>
        </w:rPr>
      </w:pPr>
    </w:p>
    <w:p w14:paraId="5CB465B7" w14:textId="77777777" w:rsidR="008B7590" w:rsidRPr="004826D1" w:rsidRDefault="004D5A26" w:rsidP="008B7590">
      <w:pPr>
        <w:pStyle w:val="Heading31"/>
        <w:rPr>
          <w:rFonts w:ascii="Times New Roman" w:hAnsi="Times New Roman"/>
          <w:lang w:val="lv-LV"/>
        </w:rPr>
      </w:pPr>
      <w:bookmarkStart w:id="9" w:name="_Toc169602229"/>
      <w:r w:rsidRPr="004826D1">
        <w:rPr>
          <w:rFonts w:ascii="Times New Roman" w:hAnsi="Times New Roman"/>
          <w:lang w:val="lv-LV"/>
        </w:rPr>
        <w:t>3.1</w:t>
      </w:r>
      <w:r w:rsidR="008B7590" w:rsidRPr="004826D1">
        <w:rPr>
          <w:rFonts w:ascii="Times New Roman" w:hAnsi="Times New Roman"/>
          <w:lang w:val="lv-LV"/>
        </w:rPr>
        <w:t>.1.</w:t>
      </w:r>
      <w:r w:rsidR="008B7590" w:rsidRPr="004826D1">
        <w:rPr>
          <w:rFonts w:ascii="Times New Roman" w:hAnsi="Times New Roman"/>
          <w:lang w:val="lv-LV"/>
        </w:rPr>
        <w:tab/>
        <w:t>Eiropas savienības politikas dokument</w:t>
      </w:r>
      <w:r w:rsidR="006B067F" w:rsidRPr="004826D1">
        <w:rPr>
          <w:rFonts w:ascii="Times New Roman" w:hAnsi="Times New Roman"/>
          <w:lang w:val="lv-LV"/>
        </w:rPr>
        <w:t xml:space="preserve">i, kas nosaka Plāna </w:t>
      </w:r>
      <w:r w:rsidRPr="004826D1">
        <w:rPr>
          <w:rFonts w:ascii="Times New Roman" w:hAnsi="Times New Roman"/>
          <w:lang w:val="lv-LV"/>
        </w:rPr>
        <w:t>sasnie</w:t>
      </w:r>
      <w:r w:rsidR="006B067F" w:rsidRPr="004826D1">
        <w:rPr>
          <w:rFonts w:ascii="Times New Roman" w:hAnsi="Times New Roman"/>
          <w:lang w:val="lv-LV"/>
        </w:rPr>
        <w:t>dzamos mērķus</w:t>
      </w:r>
      <w:bookmarkEnd w:id="9"/>
    </w:p>
    <w:p w14:paraId="0FAF0E67" w14:textId="77777777" w:rsidR="00076775" w:rsidRPr="004826D1" w:rsidRDefault="00076775" w:rsidP="00076775">
      <w:pPr>
        <w:spacing w:before="120" w:after="120"/>
        <w:jc w:val="both"/>
        <w:rPr>
          <w:rFonts w:cs="Times New Roman"/>
          <w:szCs w:val="24"/>
        </w:rPr>
      </w:pPr>
      <w:bookmarkStart w:id="10" w:name="_Toc527529420"/>
      <w:r w:rsidRPr="004826D1">
        <w:rPr>
          <w:rFonts w:cs="Times New Roman"/>
          <w:szCs w:val="24"/>
        </w:rPr>
        <w:t xml:space="preserve">Plāna kontekstu ES līmenī nosaka vairāki Eiropadomes secinājumi – KEP2020 un </w:t>
      </w:r>
      <w:r w:rsidRPr="004826D1">
        <w:rPr>
          <w:szCs w:val="24"/>
        </w:rPr>
        <w:t>KEPS2030</w:t>
      </w:r>
      <w:r w:rsidRPr="004826D1">
        <w:rPr>
          <w:rStyle w:val="FootnoteReference"/>
          <w:szCs w:val="24"/>
        </w:rPr>
        <w:footnoteReference w:id="4"/>
      </w:r>
      <w:r w:rsidRPr="004826D1">
        <w:rPr>
          <w:rFonts w:cs="Times New Roman"/>
          <w:szCs w:val="24"/>
        </w:rPr>
        <w:t xml:space="preserve">, kā arī vairāki EK paziņojumi: </w:t>
      </w:r>
    </w:p>
    <w:p w14:paraId="49C82EA1"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color w:val="000000"/>
          <w:sz w:val="24"/>
          <w:szCs w:val="24"/>
          <w:shd w:val="clear" w:color="auto" w:fill="FFFFFF"/>
        </w:rPr>
        <w:t>2006. gada 19. oktobra paziņojums “Energoefektivitātes rīcības plāns: potenciāla izmantošana”;</w:t>
      </w:r>
    </w:p>
    <w:p w14:paraId="1FB1AC95"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2007. gada 10. janvāra paziņojums “Atjaunojamo energoresursu ceļa karte – Atjaunojamie energoresursi 21. gadsimtā: ilgtspējīgākas nākotnes veidošana”;</w:t>
      </w:r>
    </w:p>
    <w:p w14:paraId="7E369EA6"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2008.gada 23.janvāra paziņojums “20 20 līdz 2020, Eiropas klimata pārmaiņu iespējas”;</w:t>
      </w:r>
    </w:p>
    <w:p w14:paraId="1071544C"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2011.gada 8. marta paziņojums “Ceļvedis virzībai uz konkurētspējīgu ekonomiku ar zemu oglekļa dioksīda emisiju līmeni 2050. g.”;</w:t>
      </w:r>
    </w:p>
    <w:p w14:paraId="66BBA32D"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2011. gada 28. marta paziņojums “Ceļvedis uz Eiropas vienoto transporta telpu — virzība uz konkurētspējīgu un resursefektīvu transporta sistēmu”;</w:t>
      </w:r>
    </w:p>
    <w:p w14:paraId="476FDEB2"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2014. gada 22. janvāra paziņojums “Klimata un enerģētikas politikas satvars laikposmam no 2020. gada līdz 2030. gadam”;</w:t>
      </w:r>
    </w:p>
    <w:p w14:paraId="29BF3B57"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2015.gada 25.februāra paziņojums “Pamatstratēģija spēcīgai Enerģētikas savienībai ar tālredzīgu klimata pārmaiņu politiku”;</w:t>
      </w:r>
    </w:p>
    <w:p w14:paraId="285448EE"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bookmarkStart w:id="11" w:name="_Hlk523127143"/>
      <w:r w:rsidRPr="004826D1">
        <w:rPr>
          <w:rFonts w:cs="Times New Roman"/>
          <w:sz w:val="24"/>
          <w:szCs w:val="24"/>
        </w:rPr>
        <w:t>2016. gada 30. novembra paziņojums “Tīru enerģiju ikvienam Eiropā”;</w:t>
      </w:r>
    </w:p>
    <w:bookmarkEnd w:id="11"/>
    <w:p w14:paraId="447EA183"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2017. gada 31. maija paziņojums “Programma sociāli taisnīgai pārejai uz tīru, konkurētspējīgu un savienotu mobilitāti visiem”;</w:t>
      </w:r>
    </w:p>
    <w:p w14:paraId="4906EA44"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2017. gada 8. novembra paziņojums “Mazemisiju mobilitātes realizācija. Eiropas Savienība, kas sargā mūsu planētu, dod iespējas saviem patērētājiem un aizsargā savus ražotājus un darba ņēmējus”;</w:t>
      </w:r>
    </w:p>
    <w:p w14:paraId="29561E14"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2018. gada 17. maija paziņojums “Ilgtspējīga mobilitāte Eiropai: droša, satīklota un tīra”</w:t>
      </w:r>
    </w:p>
    <w:p w14:paraId="67CCA3E7" w14:textId="77777777" w:rsidR="00076775" w:rsidRPr="004826D1" w:rsidRDefault="00076775" w:rsidP="00076775">
      <w:pPr>
        <w:spacing w:before="120" w:after="120"/>
        <w:jc w:val="both"/>
        <w:rPr>
          <w:rFonts w:cs="Times New Roman"/>
          <w:szCs w:val="24"/>
        </w:rPr>
      </w:pPr>
      <w:r w:rsidRPr="004826D1">
        <w:rPr>
          <w:rFonts w:cs="Times New Roman"/>
          <w:szCs w:val="24"/>
        </w:rPr>
        <w:t xml:space="preserve">Tāpat Plāna izstrādes un tajā iekļauto politiku un pasākumu kontekstu nosaka liels daudzums ES tiesību aktu, no kuriem galvenie ir: </w:t>
      </w:r>
    </w:p>
    <w:p w14:paraId="30B8CF6D"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2003. gada 13 .oktobra direktīva Nr. 2003/87/EK, ar kuru nosaka sistēmu siltumnīcas efektu izraisošo gāzu emisijas kvotu tirdzniecībai Kopienā un groza Padomes Direktīvu 96/61/EK (turpmāk – Direktīva 2003/87/EK);</w:t>
      </w:r>
    </w:p>
    <w:p w14:paraId="3CFA61C3"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2009. gada 23. aprīļa lēmums Nr. 406/2009/EK par dalībvalstu pasākumiem siltumnīcas efektu izraisošu gāzu emisiju samazināšanai, lai izpildītu Kopienas saistības siltumnīcas efektu izraisošu gāzu emisiju samazināšanas jomā līdz 2020. gadam (turpmāk – Lēmums 406/2009/EK);</w:t>
      </w:r>
    </w:p>
    <w:p w14:paraId="6C855585"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 xml:space="preserve">Eiropas Parlamenta un Padomes 2018.gada 30.maija regula Nr.2018/842 par saistošiem ikgadējiem siltumnīcefekta gāzu emisiju samazinājumiem, kas dalībvalstīm jāpanāk no </w:t>
      </w:r>
      <w:r w:rsidRPr="004826D1">
        <w:rPr>
          <w:rFonts w:eastAsia="Calibri" w:cs="Times New Roman"/>
          <w:sz w:val="24"/>
          <w:szCs w:val="24"/>
        </w:rPr>
        <w:lastRenderedPageBreak/>
        <w:t>2021. līdz 2030. gadam un kas dod ieguldījumu rīcībā klimata politikas jomā, lai izpildītu Parīzes nolīgumā paredzētās saistības, un ar ko groza Regulu (ES) Nr. 525/2013 (turpmāk – Regula 2018/842);</w:t>
      </w:r>
    </w:p>
    <w:p w14:paraId="522ECDCB"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2018.gada 30.maija regula Nr.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2018/841);</w:t>
      </w:r>
    </w:p>
    <w:p w14:paraId="6899D5F6"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2012. gada 25.oktobra direktīva Nr. 2012/27/ES par energoefektivitāti, ar ko groza Direktīvas 2009/125/EK un 2010/30/ES un atceļ Direktīvas 2004/8/EK un 2006/32/EK (turpmāk – Direktīva 2012/27/ES);</w:t>
      </w:r>
    </w:p>
    <w:p w14:paraId="70B229D0"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EP 30.05.2018. Direktīva 2018/844, ar ko groza Direktīvu 2010/31/ES par ēku energoefektivitāti un Direktīvu 2012/27/ES par energoefektivitāti.</w:t>
      </w:r>
    </w:p>
    <w:p w14:paraId="7DFAFC88" w14:textId="77777777" w:rsidR="00076775" w:rsidRPr="004826D1" w:rsidRDefault="00076775" w:rsidP="0007677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ES līmenī Plāna izstrādi, kā arī Plāna saturu, tajā iekļaujamos nacionālos mērķrādītājus, mērķus un devumus ES mērķu sasniegšanā, informāciju un datus, kā arī rezultatīvos rādītājus nosaka:</w:t>
      </w:r>
    </w:p>
    <w:p w14:paraId="20B6E3DF"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Transporta, telekomunikāciju un enerģētikas padomes 2015.gada 26.novembra secinājumi “Enerģētikas Savienības pārvaldības sistēma”</w:t>
      </w:r>
      <w:r w:rsidRPr="004826D1">
        <w:rPr>
          <w:rStyle w:val="FootnoteReference"/>
          <w:rFonts w:ascii="Times New Roman" w:hAnsi="Times New Roman"/>
          <w:color w:val="auto"/>
          <w:sz w:val="24"/>
          <w:szCs w:val="24"/>
        </w:rPr>
        <w:footnoteReference w:id="5"/>
      </w:r>
      <w:r w:rsidRPr="004826D1">
        <w:rPr>
          <w:rFonts w:ascii="Times New Roman" w:hAnsi="Times New Roman"/>
          <w:color w:val="auto"/>
          <w:sz w:val="24"/>
          <w:szCs w:val="24"/>
        </w:rPr>
        <w:t>;</w:t>
      </w:r>
    </w:p>
    <w:p w14:paraId="23509C3C"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sz w:val="24"/>
          <w:szCs w:val="24"/>
        </w:rPr>
        <w:t>Regula 2018/1999</w:t>
      </w:r>
      <w:r w:rsidRPr="004826D1">
        <w:rPr>
          <w:rStyle w:val="FootnoteReference"/>
          <w:rFonts w:ascii="Times New Roman" w:hAnsi="Times New Roman"/>
          <w:sz w:val="24"/>
          <w:szCs w:val="24"/>
        </w:rPr>
        <w:footnoteReference w:id="6"/>
      </w:r>
      <w:r w:rsidRPr="004826D1">
        <w:rPr>
          <w:rFonts w:ascii="Times New Roman" w:hAnsi="Times New Roman"/>
          <w:color w:val="auto"/>
          <w:sz w:val="24"/>
          <w:szCs w:val="24"/>
        </w:rPr>
        <w:t>;</w:t>
      </w:r>
    </w:p>
    <w:p w14:paraId="66866271"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Eiropas Parlamenta un Padomes Direktīva (ES) 2018/2001 (2018. gada 11. decembris) par no atjaunojamajiem energoresursiem iegūtas enerģijas izmantošanas veicināšanu;</w:t>
      </w:r>
    </w:p>
    <w:p w14:paraId="4C7B6F2D"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Eiropas Parlamenta un Padomes Direktīva (ES) 2018/2002 (2018. gada 11. decembris), ar ko groza Direktīvu 2012/27/ES par energoefektivitāti</w:t>
      </w:r>
      <w:r w:rsidRPr="004826D1">
        <w:rPr>
          <w:rStyle w:val="FootnoteReference"/>
          <w:rFonts w:ascii="Times New Roman" w:hAnsi="Times New Roman"/>
          <w:color w:val="auto"/>
          <w:sz w:val="24"/>
          <w:szCs w:val="24"/>
        </w:rPr>
        <w:footnoteReference w:id="7"/>
      </w:r>
      <w:r w:rsidRPr="004826D1">
        <w:rPr>
          <w:rFonts w:ascii="Times New Roman" w:hAnsi="Times New Roman"/>
          <w:color w:val="auto"/>
          <w:sz w:val="24"/>
          <w:szCs w:val="24"/>
        </w:rPr>
        <w:t>.</w:t>
      </w:r>
    </w:p>
    <w:p w14:paraId="3665014B" w14:textId="77777777" w:rsidR="00076775" w:rsidRPr="004826D1" w:rsidRDefault="00076775" w:rsidP="0007677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Katrā dalībvalstī un arī Latvijā Plāns tiek izstrādāts, lai sasniegtu ES noteiktos mērķus vai izteiktās starptautiskās apņemšanās:</w:t>
      </w:r>
    </w:p>
    <w:p w14:paraId="5BEF5BF5" w14:textId="77777777" w:rsidR="00076775" w:rsidRPr="004826D1" w:rsidRDefault="00076775" w:rsidP="00336DC4">
      <w:pPr>
        <w:pStyle w:val="Default"/>
        <w:numPr>
          <w:ilvl w:val="0"/>
          <w:numId w:val="10"/>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ANO Vispārējās konvencijas par klimata pārmaiņām (turpmāk – Konvencija) Parīzes nolīguma ietvaros izteiktās apņemšanās 2030.gadam attiecībā uz klimata pārmaiņu mazināšanu – SEG emisiju samazināšana un lielāka CO</w:t>
      </w:r>
      <w:r w:rsidRPr="004826D1">
        <w:rPr>
          <w:rFonts w:ascii="Times New Roman" w:hAnsi="Times New Roman"/>
          <w:color w:val="auto"/>
          <w:sz w:val="24"/>
          <w:szCs w:val="24"/>
          <w:vertAlign w:val="subscript"/>
        </w:rPr>
        <w:t>2</w:t>
      </w:r>
      <w:r w:rsidRPr="004826D1">
        <w:rPr>
          <w:rFonts w:ascii="Times New Roman" w:hAnsi="Times New Roman"/>
          <w:color w:val="auto"/>
          <w:sz w:val="24"/>
          <w:szCs w:val="24"/>
        </w:rPr>
        <w:t xml:space="preserve"> piesaiste visās nozarēs – izmaksu ziņā efektīvā veidā līdz 2030.gadam samazināt kopējās visu ES dalībvalstu SEG emisijas par vismaz 40% salīdzinot ar 1990.gadu;</w:t>
      </w:r>
    </w:p>
    <w:p w14:paraId="08A7AB50" w14:textId="77777777" w:rsidR="00076775" w:rsidRPr="004826D1" w:rsidRDefault="00076775" w:rsidP="00336DC4">
      <w:pPr>
        <w:pStyle w:val="Default"/>
        <w:numPr>
          <w:ilvl w:val="0"/>
          <w:numId w:val="10"/>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ES “Ceļvedis virzībai uz konkurētspējīgu ekonomiku ar zemu oglekļa dioksīda emisiju līmeni 2050. g.”</w:t>
      </w:r>
      <w:r w:rsidRPr="004826D1">
        <w:rPr>
          <w:rStyle w:val="FootnoteReference"/>
          <w:rFonts w:ascii="Times New Roman" w:hAnsi="Times New Roman"/>
          <w:color w:val="auto"/>
          <w:sz w:val="24"/>
          <w:szCs w:val="24"/>
        </w:rPr>
        <w:footnoteReference w:id="8"/>
      </w:r>
      <w:r w:rsidRPr="004826D1">
        <w:rPr>
          <w:rFonts w:ascii="Times New Roman" w:hAnsi="Times New Roman"/>
          <w:color w:val="auto"/>
          <w:sz w:val="24"/>
          <w:szCs w:val="24"/>
        </w:rPr>
        <w:t xml:space="preserve"> – ES 2050.gadā ir gatava savā iekšienē samazināt kopējās ES dalībvalstu emisijas par 80-95% salīdzinājumā ar 1990. g. līmeni, lai pārietu uz konkurētspējīgu ekonomiku ar zemu oglekļa dioksīda emisiju līmeni;</w:t>
      </w:r>
    </w:p>
    <w:p w14:paraId="2363BF5B" w14:textId="77777777" w:rsidR="00076775" w:rsidRPr="004826D1" w:rsidRDefault="00076775" w:rsidP="00336DC4">
      <w:pPr>
        <w:pStyle w:val="Default"/>
        <w:numPr>
          <w:ilvl w:val="0"/>
          <w:numId w:val="10"/>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ES “Tīra planēta visiem – Eiropas stratēģisks ilgtermiņa redzējums uz pārtikušu, modernu, konkurētspējīgu un klimatam neitrālu ekonomiku” – ES 2050.gadā ir gatava panākt “klimata neitralitāti”</w:t>
      </w:r>
      <w:r w:rsidRPr="004826D1">
        <w:rPr>
          <w:rStyle w:val="FootnoteReference"/>
          <w:rFonts w:ascii="Times New Roman" w:hAnsi="Times New Roman"/>
          <w:color w:val="auto"/>
          <w:sz w:val="24"/>
          <w:szCs w:val="24"/>
        </w:rPr>
        <w:footnoteReference w:id="9"/>
      </w:r>
      <w:r w:rsidRPr="004826D1">
        <w:rPr>
          <w:rFonts w:ascii="Times New Roman" w:hAnsi="Times New Roman"/>
          <w:color w:val="auto"/>
          <w:sz w:val="24"/>
          <w:szCs w:val="24"/>
        </w:rPr>
        <w:t xml:space="preserve">, kas nosaka ES kopējo SEG emisiju apjoma </w:t>
      </w:r>
      <w:r w:rsidRPr="004826D1">
        <w:rPr>
          <w:rFonts w:ascii="Times New Roman" w:hAnsi="Times New Roman"/>
          <w:i/>
          <w:color w:val="auto"/>
          <w:sz w:val="24"/>
          <w:szCs w:val="24"/>
        </w:rPr>
        <w:t>net-zero</w:t>
      </w:r>
      <w:r w:rsidRPr="004826D1">
        <w:rPr>
          <w:rFonts w:ascii="Times New Roman" w:hAnsi="Times New Roman"/>
          <w:color w:val="auto"/>
          <w:sz w:val="24"/>
          <w:szCs w:val="24"/>
        </w:rPr>
        <w:t xml:space="preserve"> principu, kur kopumā radītais SEG emisiju apjoms tiek pilnībā nosegts ar radīto CO</w:t>
      </w:r>
      <w:r w:rsidRPr="004826D1">
        <w:rPr>
          <w:rFonts w:ascii="Times New Roman" w:hAnsi="Times New Roman"/>
          <w:color w:val="auto"/>
          <w:sz w:val="24"/>
          <w:szCs w:val="24"/>
          <w:vertAlign w:val="subscript"/>
        </w:rPr>
        <w:t>2</w:t>
      </w:r>
      <w:r w:rsidRPr="004826D1">
        <w:rPr>
          <w:rFonts w:ascii="Times New Roman" w:hAnsi="Times New Roman"/>
          <w:color w:val="auto"/>
          <w:sz w:val="24"/>
          <w:szCs w:val="24"/>
        </w:rPr>
        <w:t xml:space="preserve"> piesaisti vai, izmantojot noteiktas tehnoloģijas, netiek pieļauta radītā SEG emisiju apjoma izlaide.</w:t>
      </w:r>
    </w:p>
    <w:p w14:paraId="44B0CEBD" w14:textId="77777777" w:rsidR="00076775" w:rsidRPr="004826D1" w:rsidRDefault="00076775" w:rsidP="00076775">
      <w:pPr>
        <w:autoSpaceDE w:val="0"/>
        <w:autoSpaceDN w:val="0"/>
        <w:adjustRightInd w:val="0"/>
        <w:spacing w:before="120" w:after="120"/>
        <w:jc w:val="both"/>
        <w:rPr>
          <w:rStyle w:val="Heading2Char"/>
          <w:rFonts w:ascii="Times New Roman" w:hAnsi="Times New Roman" w:cs="Times New Roman"/>
          <w:sz w:val="24"/>
          <w:szCs w:val="24"/>
          <w:lang w:val="lv-LV"/>
        </w:rPr>
      </w:pPr>
      <w:r w:rsidRPr="004826D1">
        <w:rPr>
          <w:rFonts w:cs="Times New Roman"/>
          <w:szCs w:val="24"/>
        </w:rPr>
        <w:lastRenderedPageBreak/>
        <w:t>ES mērogā enerģētikas politika periodam līdz 2050.gadam ir noteikta EK paziņojumā “Ceļvedis virzībai uz konkurētspējīgu ekonomiku ar zemu oglekļa dioksīda emisiju līmeni 2050. g.”</w:t>
      </w:r>
      <w:r w:rsidRPr="004826D1">
        <w:rPr>
          <w:rStyle w:val="FootnoteReference"/>
          <w:szCs w:val="24"/>
        </w:rPr>
        <w:footnoteReference w:id="10"/>
      </w:r>
      <w:r w:rsidRPr="004826D1">
        <w:rPr>
          <w:rStyle w:val="Heading2Char"/>
          <w:rFonts w:ascii="Times New Roman" w:hAnsi="Times New Roman" w:cs="Times New Roman"/>
          <w:b w:val="0"/>
          <w:sz w:val="24"/>
          <w:szCs w:val="24"/>
          <w:lang w:val="lv-LV"/>
        </w:rPr>
        <w:t>, kur attiecībā uz enerģētikas sektoru ir noteikta šāda politiskā virzība 2050.gadam:</w:t>
      </w:r>
    </w:p>
    <w:p w14:paraId="4DF809D7"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Droša konkurētspējīga enerģētika bez CO</w:t>
      </w:r>
      <w:r w:rsidRPr="004826D1">
        <w:rPr>
          <w:rFonts w:cs="Times New Roman"/>
          <w:sz w:val="24"/>
          <w:szCs w:val="24"/>
          <w:vertAlign w:val="subscript"/>
        </w:rPr>
        <w:t>2</w:t>
      </w:r>
      <w:r w:rsidRPr="004826D1">
        <w:rPr>
          <w:rFonts w:cs="Times New Roman"/>
          <w:sz w:val="24"/>
          <w:szCs w:val="24"/>
        </w:rPr>
        <w:t xml:space="preserve"> emisijām;</w:t>
      </w:r>
    </w:p>
    <w:p w14:paraId="3F9E6D80"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Mobilitātes ilgtspēja, paaugstinot kurināmā izmantošanas efektivitāti, izmantojot elektrifikāciju un cenu mehānismu</w:t>
      </w:r>
    </w:p>
    <w:p w14:paraId="3BDB8CA9"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Apbūvētā vide ēku energoefektivitātes paaugstināšanai;</w:t>
      </w:r>
    </w:p>
    <w:p w14:paraId="70AFFBF8"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Rūpniecības nozaru, tostarp energoietilpīgas rūpniecības nozaru SEG emisiju samazināšana, izmantojot progresīvākus resursus un energoefektīvākus ražošanas procesus un iekārtas, palielinot otrreizējās pārstrādes apjomus, un izmantojot</w:t>
      </w:r>
      <w:r w:rsidR="00C71FCA" w:rsidRPr="004826D1">
        <w:rPr>
          <w:rFonts w:cs="Times New Roman"/>
          <w:sz w:val="24"/>
          <w:szCs w:val="24"/>
        </w:rPr>
        <w:t xml:space="preserve"> </w:t>
      </w:r>
      <w:r w:rsidRPr="004826D1">
        <w:rPr>
          <w:rFonts w:cs="Times New Roman"/>
          <w:sz w:val="24"/>
          <w:szCs w:val="24"/>
        </w:rPr>
        <w:t>SEG emisiju samazināšanas tehnoloģijas;</w:t>
      </w:r>
    </w:p>
    <w:p w14:paraId="2A624B5C"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Zemes produktivitātes ilgtspējīga palielināšana.</w:t>
      </w:r>
    </w:p>
    <w:p w14:paraId="17F1E26A" w14:textId="77777777" w:rsidR="00076775" w:rsidRPr="004826D1" w:rsidRDefault="00076775" w:rsidP="00076775">
      <w:pPr>
        <w:autoSpaceDE w:val="0"/>
        <w:autoSpaceDN w:val="0"/>
        <w:adjustRightInd w:val="0"/>
        <w:spacing w:before="120" w:after="120"/>
        <w:jc w:val="both"/>
        <w:rPr>
          <w:rFonts w:cs="Times New Roman"/>
          <w:szCs w:val="24"/>
        </w:rPr>
      </w:pPr>
      <w:r w:rsidRPr="004826D1">
        <w:rPr>
          <w:rFonts w:cs="Times New Roman"/>
          <w:szCs w:val="24"/>
        </w:rPr>
        <w:t>Savukārt periodam līdz 2030.gadam enerģētikas politika ir noteikta EK paziņojumā “Tīru enerģiju ikvienam Eiropā”</w:t>
      </w:r>
      <w:r w:rsidRPr="004826D1">
        <w:rPr>
          <w:rStyle w:val="FootnoteReference"/>
          <w:szCs w:val="24"/>
        </w:rPr>
        <w:footnoteReference w:id="11"/>
      </w:r>
      <w:r w:rsidRPr="004826D1">
        <w:rPr>
          <w:rFonts w:cs="Times New Roman"/>
          <w:szCs w:val="24"/>
        </w:rPr>
        <w:t>, kur ar iesniegto dokumentu pakotni ir paredzēts sasniegt trīs galvenos mērķus:</w:t>
      </w:r>
    </w:p>
    <w:p w14:paraId="3587B5C1" w14:textId="77777777" w:rsidR="00076775" w:rsidRPr="004826D1" w:rsidRDefault="00076775" w:rsidP="00336DC4">
      <w:pPr>
        <w:pStyle w:val="ListParagraph1"/>
        <w:numPr>
          <w:ilvl w:val="0"/>
          <w:numId w:val="12"/>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izvirzīt energoefektivitāti pirmajā vietā;</w:t>
      </w:r>
    </w:p>
    <w:p w14:paraId="32547E43" w14:textId="77777777" w:rsidR="00076775" w:rsidRPr="004826D1" w:rsidRDefault="00076775" w:rsidP="00336DC4">
      <w:pPr>
        <w:pStyle w:val="ListParagraph1"/>
        <w:numPr>
          <w:ilvl w:val="0"/>
          <w:numId w:val="12"/>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iegūt vadošo lomu AER jomā pasaules mērogā;</w:t>
      </w:r>
    </w:p>
    <w:p w14:paraId="6E7C9F50" w14:textId="77777777" w:rsidR="00076775" w:rsidRPr="004826D1" w:rsidRDefault="00076775" w:rsidP="00336DC4">
      <w:pPr>
        <w:pStyle w:val="ListParagraph1"/>
        <w:numPr>
          <w:ilvl w:val="0"/>
          <w:numId w:val="12"/>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nodrošināt taisnīgus nosacījumus patērētājiem.</w:t>
      </w:r>
    </w:p>
    <w:p w14:paraId="3DF8AB23" w14:textId="208DEC4B" w:rsid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ES ir iesniegusi ANO atjaunotu nacionāli noteikto devumu, nosakot paaugstinātu mērķi – 55% SEG emisiju samazinājums 2030. g. pret 1990. g.</w:t>
      </w:r>
      <w:r w:rsidR="00857535">
        <w:rPr>
          <w:rFonts w:cs="Times New Roman"/>
          <w:szCs w:val="24"/>
        </w:rPr>
        <w:t xml:space="preserve"> </w:t>
      </w:r>
      <w:r w:rsidRPr="00A12F7B">
        <w:rPr>
          <w:rFonts w:cs="Times New Roman"/>
          <w:szCs w:val="24"/>
        </w:rPr>
        <w:t>(iepriekš mērķis bija 40%). Līdz ar to tika atjaunināti arī ES dalībvalstu nacionālie mērķi, lai virzītos uz 2030. g. mērķi un klimatneitralitāti 2050. g. Arī Latvija ir atbalstījusi jaunos mērķus, MK apstiprinot Latvijas nacionālo pozīciju par Fitfor55 paketi</w:t>
      </w:r>
      <w:r w:rsidR="00857535">
        <w:rPr>
          <w:rFonts w:cs="Times New Roman"/>
          <w:szCs w:val="24"/>
        </w:rPr>
        <w:t xml:space="preserve"> </w:t>
      </w:r>
      <w:r w:rsidRPr="00A12F7B">
        <w:rPr>
          <w:rFonts w:cs="Times New Roman"/>
          <w:szCs w:val="24"/>
        </w:rPr>
        <w:t>un par Regulas 2018/842 grozījumiem. Fitfor55 paketes svarīgākie tiesību akti ir:</w:t>
      </w:r>
    </w:p>
    <w:p w14:paraId="07CA26EC"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w:t>
      </w:r>
      <w:r w:rsidRPr="00A12F7B">
        <w:rPr>
          <w:rFonts w:cs="Times New Roman"/>
          <w:szCs w:val="24"/>
        </w:rPr>
        <w:tab/>
        <w:t>Eiropas Parlamenta un Padomes 2003. gada 13. oktobra direktīva Nr. 2003/87EK, ar kuru nosaka sistēmu siltumnīcas efektu izraisošo gāzu emisijas kvotu tirdzniecībai Savienībā un groza Padomes Direktīvu 96/61/EK (Direktīva 2003/87/EK, Direktīva 2023/958, Direktīva 2023/959) ;</w:t>
      </w:r>
    </w:p>
    <w:p w14:paraId="7143F0F7"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2)</w:t>
      </w:r>
      <w:r w:rsidRPr="00A12F7B">
        <w:rPr>
          <w:rFonts w:cs="Times New Roman"/>
          <w:szCs w:val="24"/>
        </w:rPr>
        <w:tab/>
        <w:t>Eiropas Parlamenta un Padomes 2018. gada 30. maija regula Nr. 2018/841 par zemes izmantošanā, zemes izmantošanas maiņā un mežsaimniecībā radušos siltumnīcefekta gāzu emisiju un piesaistes iekļaušanu klimata un enerģētikas politikas satvarā laikposmam līdz 2030. gadam (Regula 2018/841, Regula 2023/839) ;</w:t>
      </w:r>
    </w:p>
    <w:p w14:paraId="56802DA3"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3)</w:t>
      </w:r>
      <w:r w:rsidRPr="00A12F7B">
        <w:rPr>
          <w:rFonts w:cs="Times New Roman"/>
          <w:szCs w:val="24"/>
        </w:rPr>
        <w:tab/>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(Regula 2018/842, Regula 2023/857) ;</w:t>
      </w:r>
    </w:p>
    <w:p w14:paraId="0E63B470"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4)</w:t>
      </w:r>
      <w:r w:rsidRPr="00A12F7B">
        <w:rPr>
          <w:rFonts w:cs="Times New Roman"/>
          <w:szCs w:val="24"/>
        </w:rPr>
        <w:tab/>
        <w:t xml:space="preserve">Eiropas Parlamenta un Padomes 2018. gada 11. decembra regula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w:t>
      </w:r>
      <w:r w:rsidRPr="00A12F7B">
        <w:rPr>
          <w:rFonts w:cs="Times New Roman"/>
          <w:szCs w:val="24"/>
        </w:rPr>
        <w:lastRenderedPageBreak/>
        <w:t>un atceļ Eiropas Parlamenta un Padomes Regulu (ES) Nr. 525/2013 (Regula 2018/1999, Regula 2023/839, Regula 2023/857);</w:t>
      </w:r>
    </w:p>
    <w:p w14:paraId="220DE795" w14:textId="6F1BB939"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5)</w:t>
      </w:r>
      <w:r w:rsidRPr="00A12F7B">
        <w:rPr>
          <w:rFonts w:cs="Times New Roman"/>
          <w:szCs w:val="24"/>
        </w:rPr>
        <w:tab/>
        <w:t>Eiropas Parlamenta un Padomes 2023. gada 10. maija regula (ES) Nr. 2023/955, ar ko izveido Sociālo klimata fondu</w:t>
      </w:r>
      <w:r w:rsidR="00857535">
        <w:rPr>
          <w:rFonts w:cs="Times New Roman"/>
          <w:szCs w:val="24"/>
        </w:rPr>
        <w:t xml:space="preserve"> </w:t>
      </w:r>
      <w:r w:rsidRPr="00A12F7B">
        <w:rPr>
          <w:rFonts w:cs="Times New Roman"/>
          <w:szCs w:val="24"/>
        </w:rPr>
        <w:t>(Regula 2023/955);</w:t>
      </w:r>
    </w:p>
    <w:p w14:paraId="0A7A1021"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6)</w:t>
      </w:r>
      <w:r w:rsidRPr="00A12F7B">
        <w:rPr>
          <w:rFonts w:cs="Times New Roman"/>
          <w:szCs w:val="24"/>
        </w:rPr>
        <w:tab/>
        <w:t>Eiropas Parlamenta un Padomes 2023. gada 10. maija regula (ES) Nr. 2023/956, ar ko izveido oglekļa ievedkorekcijas mehānismu (Regula 2023/956) ;</w:t>
      </w:r>
    </w:p>
    <w:p w14:paraId="07C98308"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7)</w:t>
      </w:r>
      <w:r w:rsidRPr="00A12F7B">
        <w:rPr>
          <w:rFonts w:cs="Times New Roman"/>
          <w:szCs w:val="24"/>
        </w:rPr>
        <w:tab/>
        <w:t>Eiropas Parlamenta un Padomes 2023. gada 13. septembra regula (ES) Nr. 2023/1805 par atjaunīgo un mazoglekļa degvielu izmantošanu jūras transportā (Regula 2023/1805) ;</w:t>
      </w:r>
    </w:p>
    <w:p w14:paraId="58B4707E"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8)</w:t>
      </w:r>
      <w:r w:rsidRPr="00A12F7B">
        <w:rPr>
          <w:rFonts w:cs="Times New Roman"/>
          <w:szCs w:val="24"/>
        </w:rPr>
        <w:tab/>
        <w:t>Eiropas Parlamenta un Padomes 2023. gada 13. septembra regula (ES) Nr. 2023/1804 par alternatīvo degvielu infrastruktūras ieviešanu (Regula 2023/1804) ;</w:t>
      </w:r>
    </w:p>
    <w:p w14:paraId="1D4C8085"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9)</w:t>
      </w:r>
      <w:r w:rsidRPr="00A12F7B">
        <w:rPr>
          <w:rFonts w:cs="Times New Roman"/>
          <w:szCs w:val="24"/>
        </w:rPr>
        <w:tab/>
        <w:t>Eiropas Parlamenta un Padomes 2023. gada 13. septembra direktīva (ES) 2023/1791 par energoefektivitāti (Direktīva 2023/1791) ;</w:t>
      </w:r>
    </w:p>
    <w:p w14:paraId="1AEB33A1"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10)</w:t>
      </w:r>
      <w:r w:rsidRPr="00A12F7B">
        <w:rPr>
          <w:rFonts w:cs="Times New Roman"/>
          <w:szCs w:val="24"/>
        </w:rPr>
        <w:tab/>
        <w:t>Eiropas Parlamenta un Padomes 2018. gada 11. decembra direktīvā (ES) Nr. 2018/2001 par no atjaunojamajiem energoresursiem iegūtas enerģijas izmantošanas veicināšanu (Direktīva 2018/2001 , Direktīva 2023/2413 );</w:t>
      </w:r>
    </w:p>
    <w:p w14:paraId="4C285BA3"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11)</w:t>
      </w:r>
      <w:r w:rsidRPr="00A12F7B">
        <w:rPr>
          <w:rFonts w:cs="Times New Roman"/>
          <w:szCs w:val="24"/>
        </w:rPr>
        <w:tab/>
        <w:t>Eiropas Parlamenta un Padomes 2024.gada 24.aprīļa direktīva 2024/1275 par ēku energosniegumu (Direktīva 2024/1275) ;</w:t>
      </w:r>
    </w:p>
    <w:p w14:paraId="4350663D"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12)</w:t>
      </w:r>
      <w:r w:rsidRPr="00A12F7B">
        <w:rPr>
          <w:rFonts w:cs="Times New Roman"/>
          <w:szCs w:val="24"/>
        </w:rPr>
        <w:tab/>
        <w:t>Eiropas Parlamenta un Padomes 2023.gada 18.oktobra regula (ES) 2023/2405 par vienlīdzīgu konkurences apstākļu nodrošināšanu ilgtspējīgam gaisa transportam (ReFuelEU Aviation) (Regula 2023/2405) ;</w:t>
      </w:r>
    </w:p>
    <w:p w14:paraId="7E6F0CD2" w14:textId="603F9ABC"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13)</w:t>
      </w:r>
      <w:r w:rsidRPr="00A12F7B">
        <w:rPr>
          <w:rFonts w:cs="Times New Roman"/>
          <w:szCs w:val="24"/>
        </w:rPr>
        <w:tab/>
        <w:t>Eiropas Parlamenta un Padomes (ES) 2019. gada</w:t>
      </w:r>
      <w:r w:rsidR="00857535">
        <w:rPr>
          <w:rFonts w:cs="Times New Roman"/>
          <w:szCs w:val="24"/>
        </w:rPr>
        <w:t xml:space="preserve"> </w:t>
      </w:r>
      <w:r w:rsidRPr="00A12F7B">
        <w:rPr>
          <w:rFonts w:cs="Times New Roman"/>
          <w:szCs w:val="24"/>
        </w:rPr>
        <w:t>27. novembra regula Nr.2019/2088 par informācijas atklāšanu, kas saistīta ar ilgtspēju, finanšu pakalpojumu nozarē (Regula 2019/2088);</w:t>
      </w:r>
    </w:p>
    <w:p w14:paraId="054BCC41" w14:textId="07B612CB"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14)</w:t>
      </w:r>
      <w:r w:rsidRPr="00A12F7B">
        <w:rPr>
          <w:rFonts w:cs="Times New Roman"/>
          <w:szCs w:val="24"/>
        </w:rPr>
        <w:tab/>
        <w:t>Eiropas Parlamenta un Padomes</w:t>
      </w:r>
      <w:r w:rsidR="00857535">
        <w:rPr>
          <w:rFonts w:cs="Times New Roman"/>
          <w:szCs w:val="24"/>
        </w:rPr>
        <w:t xml:space="preserve"> </w:t>
      </w:r>
      <w:r w:rsidRPr="00A12F7B">
        <w:rPr>
          <w:rFonts w:cs="Times New Roman"/>
          <w:szCs w:val="24"/>
        </w:rPr>
        <w:t>(ES) 2020. gada 18. jūnija</w:t>
      </w:r>
      <w:r w:rsidR="00857535">
        <w:rPr>
          <w:rFonts w:cs="Times New Roman"/>
          <w:szCs w:val="24"/>
        </w:rPr>
        <w:t xml:space="preserve"> </w:t>
      </w:r>
      <w:r w:rsidRPr="00A12F7B">
        <w:rPr>
          <w:rFonts w:cs="Times New Roman"/>
          <w:szCs w:val="24"/>
        </w:rPr>
        <w:t>regula Nr. 2020/852 par regulējuma izveidi ilgtspējīgu ieguldījumu veicināšanai un ar ko groza Regulu (ES) 2019/2088 (Regula 2020/852);</w:t>
      </w:r>
    </w:p>
    <w:p w14:paraId="47E785BF" w14:textId="77777777" w:rsidR="00076775" w:rsidRDefault="00A12F7B" w:rsidP="00A12F7B">
      <w:pPr>
        <w:autoSpaceDE w:val="0"/>
        <w:autoSpaceDN w:val="0"/>
        <w:adjustRightInd w:val="0"/>
        <w:spacing w:before="120" w:after="120"/>
        <w:jc w:val="both"/>
        <w:rPr>
          <w:rFonts w:cs="Times New Roman"/>
          <w:szCs w:val="24"/>
        </w:rPr>
      </w:pPr>
      <w:r w:rsidRPr="00A12F7B">
        <w:rPr>
          <w:rFonts w:cs="Times New Roman"/>
          <w:szCs w:val="24"/>
        </w:rPr>
        <w:t>15)</w:t>
      </w:r>
      <w:r w:rsidRPr="00A12F7B">
        <w:rPr>
          <w:rFonts w:cs="Times New Roman"/>
          <w:szCs w:val="24"/>
        </w:rPr>
        <w:tab/>
        <w:t xml:space="preserve"> Eiropas Parlamenta un Padomes (ES) 2022. gada 14. decembra direktīva Nr.2022/2464, ar ko attiecībā uz korporatīvo ilgtspējas ziņu sniegšanu groza Regulu (ES) Nr. 537/2014, Direktīvu 2004/109/EK, Direktīvu 2006/43/EK un Direktīvu 2013/34/ES.</w:t>
      </w:r>
    </w:p>
    <w:p w14:paraId="1802C9B4" w14:textId="77777777" w:rsidR="00A12F7B" w:rsidRDefault="00A12F7B" w:rsidP="00A12F7B">
      <w:pPr>
        <w:autoSpaceDE w:val="0"/>
        <w:autoSpaceDN w:val="0"/>
        <w:adjustRightInd w:val="0"/>
        <w:spacing w:before="120" w:after="120"/>
        <w:jc w:val="both"/>
        <w:rPr>
          <w:rFonts w:cs="Times New Roman"/>
          <w:szCs w:val="24"/>
        </w:rPr>
      </w:pPr>
    </w:p>
    <w:p w14:paraId="3E00C5A6" w14:textId="77777777" w:rsidR="00BA1A52" w:rsidRPr="00BA1A52" w:rsidRDefault="00BA1A52" w:rsidP="00BA1A52">
      <w:pPr>
        <w:rPr>
          <w:lang w:eastAsia="lv-LV"/>
        </w:rPr>
      </w:pPr>
    </w:p>
    <w:p w14:paraId="3EAB412E" w14:textId="77777777" w:rsidR="00633057" w:rsidRPr="004826D1" w:rsidRDefault="00633057" w:rsidP="00633057">
      <w:pPr>
        <w:pStyle w:val="Heading31"/>
        <w:rPr>
          <w:rFonts w:ascii="Times New Roman" w:hAnsi="Times New Roman"/>
          <w:lang w:val="lv-LV"/>
        </w:rPr>
      </w:pPr>
      <w:bookmarkStart w:id="12" w:name="_Toc169602230"/>
      <w:r w:rsidRPr="004826D1">
        <w:rPr>
          <w:rFonts w:ascii="Times New Roman" w:hAnsi="Times New Roman"/>
          <w:lang w:val="lv-LV"/>
        </w:rPr>
        <w:t>3.1.2.</w:t>
      </w:r>
      <w:r w:rsidRPr="004826D1">
        <w:rPr>
          <w:rFonts w:ascii="Times New Roman" w:hAnsi="Times New Roman"/>
          <w:lang w:val="lv-LV"/>
        </w:rPr>
        <w:tab/>
        <w:t>Nacionālā plāna Latvijas un ES energosistēmas konteksts</w:t>
      </w:r>
      <w:bookmarkEnd w:id="12"/>
    </w:p>
    <w:bookmarkEnd w:id="10"/>
    <w:p w14:paraId="4AF04D50" w14:textId="14F535F5" w:rsidR="00D70C05" w:rsidRDefault="00D70C05" w:rsidP="00D70C05">
      <w:pPr>
        <w:spacing w:before="120" w:after="120"/>
        <w:jc w:val="both"/>
        <w:rPr>
          <w:rFonts w:cs="Times New Roman"/>
          <w:szCs w:val="24"/>
        </w:rPr>
      </w:pPr>
      <w:r w:rsidRPr="004826D1">
        <w:rPr>
          <w:rFonts w:cs="Times New Roman"/>
          <w:szCs w:val="24"/>
        </w:rPr>
        <w:t>11.12.2019. EK paziņojumā “Eiropas zaļais kurss” ir uzsvērta nepieciešamība virzīt finanšu un kapitāla plūsmas uz “zaļajiem” jeb ekoloģiski ilgtspējīgiem ieguldījumiem. 14.01.2020. EK paziņojumā “Eiropas zaļā kursa investīciju plāns” tika tālāk apskatīti finanšu avoti un piedāvāts izveidot ES zaļo obligāciju standartu. Regula 2019/2088 skaidro terminu “ilgtspējīgs ieguldījums”, kas ir ieguldījums saimnieciskajā darbībā, kuras būtība ir vides, sociālo un pārvaldības aspektu ievērošana. Regula 2020/852</w:t>
      </w:r>
      <w:r w:rsidRPr="004826D1">
        <w:rPr>
          <w:rStyle w:val="FootnoteReference"/>
          <w:rFonts w:eastAsia="Calibri"/>
          <w:szCs w:val="24"/>
        </w:rPr>
        <w:footnoteReference w:id="12"/>
      </w:r>
      <w:r w:rsidRPr="004826D1">
        <w:rPr>
          <w:rFonts w:cs="Times New Roman"/>
          <w:szCs w:val="24"/>
        </w:rPr>
        <w:t xml:space="preserve"> nosaka kritērijus, saskaņā ar kuriem ieguldījums ir uzskatāms par ilgtspējīgu – saimnieciskā darbība būtiski sekmē kādu no šajā regulā noteiktajiem vides mērķiem, vienlaikus nerada būtisku kaitējumu kādam no mērķiem un nodrošina minimuma aizsargpasākumus</w:t>
      </w:r>
      <w:r w:rsidR="00857535">
        <w:rPr>
          <w:rFonts w:cs="Times New Roman"/>
          <w:szCs w:val="24"/>
        </w:rPr>
        <w:t xml:space="preserve"> </w:t>
      </w:r>
      <w:r w:rsidRPr="004826D1">
        <w:rPr>
          <w:rFonts w:cs="Times New Roman"/>
          <w:szCs w:val="24"/>
        </w:rPr>
        <w:t>sociālajā un pārvaldības jomā, un</w:t>
      </w:r>
      <w:r w:rsidR="00857535">
        <w:rPr>
          <w:rFonts w:cs="Times New Roman"/>
          <w:szCs w:val="24"/>
        </w:rPr>
        <w:t xml:space="preserve"> </w:t>
      </w:r>
      <w:r w:rsidRPr="004826D1">
        <w:rPr>
          <w:rFonts w:cs="Times New Roman"/>
          <w:szCs w:val="24"/>
        </w:rPr>
        <w:t xml:space="preserve">izdevumu attiecināšanas nosacījums ar Regulu 2020/852 ļauj investoram gūt pārliecību, ka </w:t>
      </w:r>
      <w:r w:rsidRPr="004826D1">
        <w:rPr>
          <w:rFonts w:cs="Times New Roman"/>
          <w:szCs w:val="24"/>
        </w:rPr>
        <w:lastRenderedPageBreak/>
        <w:t>attiecīgais projekts, pasākums, ieguldījums vai citi izdevumi sniedz būtisku ieguldījumu vides ziņā ilgtspējīgu mērķu sasniegšanā.</w:t>
      </w:r>
    </w:p>
    <w:p w14:paraId="7FD2DA76" w14:textId="77777777" w:rsidR="007366B2" w:rsidRDefault="007366B2" w:rsidP="007366B2">
      <w:pPr>
        <w:autoSpaceDE w:val="0"/>
        <w:autoSpaceDN w:val="0"/>
        <w:adjustRightInd w:val="0"/>
        <w:spacing w:before="120" w:after="120"/>
        <w:jc w:val="both"/>
        <w:rPr>
          <w:rFonts w:cs="Times New Roman"/>
          <w:szCs w:val="24"/>
        </w:rPr>
      </w:pPr>
      <w:r w:rsidRPr="007366B2">
        <w:rPr>
          <w:rFonts w:cs="Times New Roman"/>
          <w:szCs w:val="24"/>
        </w:rPr>
        <w:t>Nacionālā plāna Latvijas un ES energosistēmas konteksts</w:t>
      </w:r>
      <w:r>
        <w:rPr>
          <w:rFonts w:cs="Times New Roman"/>
          <w:szCs w:val="24"/>
        </w:rPr>
        <w:t xml:space="preserve"> grafiski kopsavilkts 3.1. attēlā.</w:t>
      </w:r>
    </w:p>
    <w:p w14:paraId="5713F05B" w14:textId="1677DF8E" w:rsidR="007366B2" w:rsidRDefault="000654E1" w:rsidP="007366B2">
      <w:pPr>
        <w:autoSpaceDE w:val="0"/>
        <w:autoSpaceDN w:val="0"/>
        <w:adjustRightInd w:val="0"/>
        <w:spacing w:before="120" w:after="120"/>
        <w:jc w:val="both"/>
        <w:rPr>
          <w:rFonts w:cs="Times New Roman"/>
          <w:szCs w:val="24"/>
        </w:rPr>
      </w:pPr>
      <w:r>
        <w:rPr>
          <w:rFonts w:cs="Times New Roman"/>
          <w:noProof/>
          <w:szCs w:val="24"/>
          <w:lang w:eastAsia="lv-LV"/>
        </w:rPr>
        <w:drawing>
          <wp:inline distT="0" distB="0" distL="0" distR="0" wp14:anchorId="579CCEA1" wp14:editId="6526A43F">
            <wp:extent cx="4314825" cy="2343150"/>
            <wp:effectExtent l="0" t="0" r="0" b="0"/>
            <wp:docPr id="1"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descr="A black background with white circles and arrow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2343150"/>
                    </a:xfrm>
                    <a:prstGeom prst="rect">
                      <a:avLst/>
                    </a:prstGeom>
                    <a:noFill/>
                    <a:ln>
                      <a:noFill/>
                    </a:ln>
                  </pic:spPr>
                </pic:pic>
              </a:graphicData>
            </a:graphic>
          </wp:inline>
        </w:drawing>
      </w:r>
    </w:p>
    <w:p w14:paraId="32F8A6E8" w14:textId="77777777" w:rsidR="007366B2" w:rsidRPr="007366B2" w:rsidRDefault="007366B2" w:rsidP="007366B2">
      <w:pPr>
        <w:autoSpaceDE w:val="0"/>
        <w:autoSpaceDN w:val="0"/>
        <w:adjustRightInd w:val="0"/>
        <w:spacing w:before="120" w:after="120"/>
        <w:jc w:val="both"/>
        <w:rPr>
          <w:rFonts w:cs="Times New Roman"/>
          <w:b/>
          <w:szCs w:val="24"/>
        </w:rPr>
      </w:pPr>
      <w:r w:rsidRPr="007366B2">
        <w:rPr>
          <w:rFonts w:cs="Times New Roman"/>
          <w:b/>
          <w:szCs w:val="24"/>
        </w:rPr>
        <w:t>3.1. attēls. Nacionālā plāna Latvijas un ES energosistēmas konteksts</w:t>
      </w:r>
    </w:p>
    <w:p w14:paraId="0827CF94" w14:textId="77777777" w:rsidR="007366B2" w:rsidRPr="004826D1" w:rsidRDefault="007366B2" w:rsidP="00D70C05">
      <w:pPr>
        <w:spacing w:before="120" w:after="120"/>
        <w:jc w:val="both"/>
        <w:rPr>
          <w:rFonts w:cs="Times New Roman"/>
          <w:szCs w:val="24"/>
        </w:rPr>
      </w:pPr>
    </w:p>
    <w:p w14:paraId="7A530434" w14:textId="77777777" w:rsidR="00D70C05" w:rsidRPr="004826D1" w:rsidRDefault="00D70C05" w:rsidP="00D70C05">
      <w:pPr>
        <w:autoSpaceDE w:val="0"/>
        <w:autoSpaceDN w:val="0"/>
        <w:adjustRightInd w:val="0"/>
        <w:spacing w:before="120" w:after="120"/>
        <w:jc w:val="both"/>
        <w:rPr>
          <w:rFonts w:cs="Times New Roman"/>
          <w:szCs w:val="24"/>
        </w:rPr>
      </w:pPr>
      <w:r w:rsidRPr="004826D1">
        <w:rPr>
          <w:rFonts w:cs="Times New Roman"/>
          <w:szCs w:val="24"/>
        </w:rPr>
        <w:t>Latvijā pašlaik ir spēkā vairāki politikas plānošanas dokumenti (t.sk. informatīvie ziņojumi), kas skar enerģētikas un klimata pārmaiņu mazināšanas jautājumus, kuros ir noteikti enerģētikas un klimata pārmaiņu mazināšanas un pielāgošanās mērķi, un arī noteikta rīcībpolitika šo mērķu sasniegšanai:</w:t>
      </w:r>
    </w:p>
    <w:p w14:paraId="5DD53BDF"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Latvijas ilgtspējīgas attīstības stratēģija „Latvija 2030”</w:t>
      </w:r>
      <w:r w:rsidRPr="004826D1">
        <w:rPr>
          <w:rStyle w:val="FootnoteReference"/>
          <w:sz w:val="24"/>
          <w:szCs w:val="24"/>
          <w:lang w:eastAsia="lv-LV"/>
        </w:rPr>
        <w:t xml:space="preserve"> </w:t>
      </w:r>
      <w:r w:rsidRPr="004826D1">
        <w:rPr>
          <w:rStyle w:val="FootnoteReference"/>
          <w:sz w:val="24"/>
          <w:szCs w:val="24"/>
          <w:lang w:eastAsia="lv-LV"/>
        </w:rPr>
        <w:footnoteReference w:id="13"/>
      </w:r>
      <w:r w:rsidRPr="004826D1">
        <w:rPr>
          <w:rFonts w:cs="Times New Roman"/>
          <w:sz w:val="24"/>
          <w:szCs w:val="24"/>
          <w:lang w:eastAsia="lv-LV"/>
        </w:rPr>
        <w:t>;</w:t>
      </w:r>
    </w:p>
    <w:p w14:paraId="5866B2F3"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lang w:eastAsia="lv-LV"/>
        </w:rPr>
        <w:t xml:space="preserve">Latvijas </w:t>
      </w:r>
      <w:r w:rsidRPr="004826D1">
        <w:rPr>
          <w:rFonts w:cs="Times New Roman"/>
          <w:sz w:val="24"/>
          <w:szCs w:val="24"/>
        </w:rPr>
        <w:t>Nacionālais attīstības plāns 2021. – 2027. gadam</w:t>
      </w:r>
      <w:r w:rsidRPr="004826D1">
        <w:rPr>
          <w:rStyle w:val="FootnoteReference"/>
          <w:sz w:val="24"/>
          <w:szCs w:val="24"/>
          <w:lang w:eastAsia="lv-LV"/>
        </w:rPr>
        <w:footnoteReference w:id="14"/>
      </w:r>
      <w:r w:rsidRPr="004826D1">
        <w:rPr>
          <w:rFonts w:cs="Times New Roman"/>
          <w:sz w:val="24"/>
          <w:szCs w:val="24"/>
        </w:rPr>
        <w:t>;</w:t>
      </w:r>
    </w:p>
    <w:p w14:paraId="76EC056B"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Informatīvais ziņojums “Ēku ilgtermiņa attīstības stratēģija”</w:t>
      </w:r>
      <w:r w:rsidRPr="004826D1">
        <w:rPr>
          <w:rStyle w:val="FootnoteReference"/>
          <w:sz w:val="24"/>
          <w:szCs w:val="24"/>
          <w:lang w:eastAsia="lv-LV"/>
        </w:rPr>
        <w:footnoteReference w:id="15"/>
      </w:r>
      <w:r w:rsidRPr="004826D1">
        <w:rPr>
          <w:rFonts w:cs="Times New Roman"/>
          <w:sz w:val="24"/>
          <w:szCs w:val="24"/>
        </w:rPr>
        <w:t>;</w:t>
      </w:r>
    </w:p>
    <w:p w14:paraId="5798BE59"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Latvijas pielāgošanās klimata pārmaiņām plāns laika posmam līdz 2030. gadam</w:t>
      </w:r>
      <w:r w:rsidRPr="004826D1">
        <w:rPr>
          <w:rStyle w:val="FootnoteReference"/>
          <w:sz w:val="24"/>
          <w:szCs w:val="24"/>
          <w:lang w:eastAsia="lv-LV"/>
        </w:rPr>
        <w:footnoteReference w:id="16"/>
      </w:r>
      <w:r w:rsidRPr="004826D1">
        <w:rPr>
          <w:rFonts w:cs="Times New Roman"/>
          <w:sz w:val="24"/>
          <w:szCs w:val="24"/>
          <w:lang w:eastAsia="lv-LV"/>
        </w:rPr>
        <w:t>;</w:t>
      </w:r>
    </w:p>
    <w:p w14:paraId="19CB4C81"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eastAsia="Cambria" w:cs="Times New Roman"/>
          <w:sz w:val="24"/>
          <w:szCs w:val="24"/>
          <w:lang w:eastAsia="lv-LV"/>
        </w:rPr>
        <w:t>Latvijas stratēģija klimatneitralitātes sasniegšanai līdz 2050. gadam</w:t>
      </w:r>
      <w:r w:rsidRPr="004826D1">
        <w:rPr>
          <w:rStyle w:val="FootnoteReference"/>
          <w:rFonts w:eastAsia="Cambria"/>
          <w:sz w:val="24"/>
          <w:szCs w:val="24"/>
          <w:lang w:eastAsia="lv-LV"/>
        </w:rPr>
        <w:footnoteReference w:id="17"/>
      </w:r>
      <w:r w:rsidRPr="004826D1">
        <w:rPr>
          <w:rFonts w:eastAsia="Cambria" w:cs="Times New Roman"/>
          <w:sz w:val="24"/>
          <w:szCs w:val="24"/>
          <w:lang w:eastAsia="lv-LV"/>
        </w:rPr>
        <w:t>;</w:t>
      </w:r>
    </w:p>
    <w:p w14:paraId="2742A11E"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Vides politikas pamatnostādnes 2021. – 2027. gadam</w:t>
      </w:r>
      <w:r w:rsidRPr="004826D1">
        <w:rPr>
          <w:rStyle w:val="FootnoteReference"/>
          <w:sz w:val="24"/>
          <w:szCs w:val="24"/>
          <w:lang w:eastAsia="lv-LV"/>
        </w:rPr>
        <w:footnoteReference w:id="18"/>
      </w:r>
      <w:r w:rsidRPr="004826D1">
        <w:rPr>
          <w:rFonts w:cs="Times New Roman"/>
          <w:sz w:val="24"/>
          <w:szCs w:val="24"/>
          <w:lang w:eastAsia="lv-LV"/>
        </w:rPr>
        <w:t>;</w:t>
      </w:r>
    </w:p>
    <w:p w14:paraId="422BD4D7"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Atkritumu apsaimniekošanas valsts plāns 2021. – 2028. gadam</w:t>
      </w:r>
      <w:r w:rsidRPr="004826D1">
        <w:rPr>
          <w:rStyle w:val="FootnoteReference"/>
          <w:sz w:val="24"/>
          <w:szCs w:val="24"/>
          <w:lang w:eastAsia="lv-LV"/>
        </w:rPr>
        <w:footnoteReference w:id="19"/>
      </w:r>
      <w:r w:rsidRPr="004826D1">
        <w:rPr>
          <w:rFonts w:cs="Times New Roman"/>
          <w:sz w:val="24"/>
          <w:szCs w:val="24"/>
          <w:lang w:eastAsia="lv-LV"/>
        </w:rPr>
        <w:t>;</w:t>
      </w:r>
    </w:p>
    <w:p w14:paraId="269106E3"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lang w:eastAsia="lv-LV"/>
        </w:rPr>
        <w:t>Transporta attīstības pamatnostādnes 2021. – 2027. gadam</w:t>
      </w:r>
      <w:r w:rsidRPr="004826D1">
        <w:rPr>
          <w:rStyle w:val="FootnoteReference"/>
          <w:sz w:val="24"/>
          <w:szCs w:val="24"/>
          <w:lang w:eastAsia="lv-LV"/>
        </w:rPr>
        <w:footnoteReference w:id="20"/>
      </w:r>
      <w:r w:rsidRPr="004826D1">
        <w:rPr>
          <w:rFonts w:cs="Times New Roman"/>
          <w:sz w:val="24"/>
          <w:szCs w:val="24"/>
          <w:lang w:eastAsia="lv-LV"/>
        </w:rPr>
        <w:t>;</w:t>
      </w:r>
    </w:p>
    <w:p w14:paraId="24C1F095"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lang w:eastAsia="lv-LV"/>
        </w:rPr>
        <w:t>Zinātnes, tehnoloģijas attīstības un inovācijas pamatnostādnes 2021. – 2027. gadam</w:t>
      </w:r>
      <w:r w:rsidRPr="004826D1">
        <w:rPr>
          <w:rStyle w:val="FootnoteReference"/>
          <w:sz w:val="24"/>
          <w:szCs w:val="24"/>
          <w:lang w:eastAsia="lv-LV"/>
        </w:rPr>
        <w:footnoteReference w:id="21"/>
      </w:r>
      <w:r w:rsidRPr="004826D1">
        <w:rPr>
          <w:rFonts w:cs="Times New Roman"/>
          <w:sz w:val="24"/>
          <w:szCs w:val="24"/>
          <w:lang w:eastAsia="lv-LV"/>
        </w:rPr>
        <w:t>;</w:t>
      </w:r>
    </w:p>
    <w:p w14:paraId="3F374DDC"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Nacionālās industriālās politikas pamatnostādnes 2021. – 2027. gadam</w:t>
      </w:r>
      <w:r w:rsidRPr="004826D1">
        <w:rPr>
          <w:rStyle w:val="FootnoteReference"/>
          <w:rFonts w:eastAsia="Calibri"/>
          <w:sz w:val="24"/>
          <w:szCs w:val="24"/>
        </w:rPr>
        <w:footnoteReference w:id="22"/>
      </w:r>
      <w:r w:rsidRPr="004826D1">
        <w:rPr>
          <w:rFonts w:cs="Times New Roman"/>
          <w:sz w:val="24"/>
          <w:szCs w:val="24"/>
        </w:rPr>
        <w:t>;</w:t>
      </w:r>
    </w:p>
    <w:p w14:paraId="47B2C092"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Rīcības plāns pārejai uz aprites ekonomiku 2020.-2027. gadam</w:t>
      </w:r>
      <w:r w:rsidRPr="004826D1">
        <w:rPr>
          <w:rStyle w:val="FootnoteReference"/>
          <w:rFonts w:eastAsia="Calibri"/>
          <w:sz w:val="24"/>
          <w:szCs w:val="24"/>
        </w:rPr>
        <w:footnoteReference w:id="23"/>
      </w:r>
    </w:p>
    <w:p w14:paraId="2F927E1A"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Reģionālās politikas pamatnostādnes 2021. – 2027. gadam</w:t>
      </w:r>
      <w:r w:rsidRPr="004826D1">
        <w:rPr>
          <w:rStyle w:val="FootnoteReference"/>
          <w:sz w:val="24"/>
          <w:szCs w:val="24"/>
          <w:lang w:eastAsia="lv-LV"/>
        </w:rPr>
        <w:footnoteReference w:id="24"/>
      </w:r>
      <w:r w:rsidRPr="004826D1">
        <w:rPr>
          <w:rFonts w:cs="Times New Roman"/>
          <w:sz w:val="24"/>
          <w:szCs w:val="24"/>
          <w:lang w:eastAsia="lv-LV"/>
        </w:rPr>
        <w:t>;</w:t>
      </w:r>
    </w:p>
    <w:p w14:paraId="21FC75DA"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Finanšu sektora attīstības plāns 2022. - 2023. gadam</w:t>
      </w:r>
      <w:r w:rsidRPr="004826D1">
        <w:rPr>
          <w:rStyle w:val="FootnoteReference"/>
          <w:sz w:val="24"/>
          <w:szCs w:val="24"/>
          <w:lang w:eastAsia="lv-LV"/>
        </w:rPr>
        <w:footnoteReference w:id="25"/>
      </w:r>
      <w:r w:rsidRPr="004826D1">
        <w:rPr>
          <w:rFonts w:cs="Times New Roman"/>
          <w:sz w:val="24"/>
          <w:szCs w:val="24"/>
          <w:lang w:eastAsia="lv-LV"/>
        </w:rPr>
        <w:t>;</w:t>
      </w:r>
    </w:p>
    <w:p w14:paraId="6D41EDD4"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Kūdras ilgtspējīgas izmantošanas pamatnostādnes 2020.-2030. gadam</w:t>
      </w:r>
      <w:r w:rsidRPr="004826D1">
        <w:rPr>
          <w:rFonts w:cs="Times New Roman"/>
          <w:sz w:val="24"/>
          <w:szCs w:val="24"/>
          <w:vertAlign w:val="superscript"/>
          <w:lang w:eastAsia="lv-LV"/>
        </w:rPr>
        <w:footnoteReference w:id="26"/>
      </w:r>
      <w:r w:rsidRPr="004826D1">
        <w:rPr>
          <w:rFonts w:cs="Times New Roman"/>
          <w:sz w:val="24"/>
          <w:szCs w:val="24"/>
          <w:lang w:eastAsia="lv-LV"/>
        </w:rPr>
        <w:t>;</w:t>
      </w:r>
    </w:p>
    <w:p w14:paraId="154DE2B7"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lastRenderedPageBreak/>
        <w:t>Taisnīgas pārkārtošanās teritoriālais plāns</w:t>
      </w:r>
      <w:r w:rsidRPr="004826D1">
        <w:rPr>
          <w:rFonts w:cs="Times New Roman"/>
          <w:sz w:val="24"/>
          <w:szCs w:val="24"/>
          <w:vertAlign w:val="superscript"/>
          <w:lang w:eastAsia="lv-LV"/>
        </w:rPr>
        <w:footnoteReference w:id="27"/>
      </w:r>
      <w:r w:rsidRPr="004826D1">
        <w:rPr>
          <w:rFonts w:cs="Times New Roman"/>
          <w:sz w:val="24"/>
          <w:szCs w:val="24"/>
          <w:lang w:eastAsia="lv-LV"/>
        </w:rPr>
        <w:t>;</w:t>
      </w:r>
    </w:p>
    <w:p w14:paraId="67FF5454"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Jūras plānojums 2030</w:t>
      </w:r>
      <w:r w:rsidRPr="004826D1">
        <w:rPr>
          <w:rFonts w:cs="Times New Roman"/>
          <w:color w:val="000000"/>
          <w:sz w:val="24"/>
          <w:szCs w:val="24"/>
          <w:vertAlign w:val="superscript"/>
          <w:lang w:eastAsia="lv-LV"/>
        </w:rPr>
        <w:footnoteReference w:id="28"/>
      </w:r>
      <w:r w:rsidRPr="004826D1">
        <w:rPr>
          <w:rFonts w:cs="Times New Roman"/>
          <w:sz w:val="24"/>
          <w:szCs w:val="24"/>
          <w:lang w:eastAsia="lv-LV"/>
        </w:rPr>
        <w:t>.</w:t>
      </w:r>
    </w:p>
    <w:p w14:paraId="49531027" w14:textId="77777777" w:rsidR="00E21607" w:rsidRPr="004826D1" w:rsidRDefault="00E21607" w:rsidP="008B7590">
      <w:pPr>
        <w:jc w:val="both"/>
        <w:rPr>
          <w:rFonts w:cs="Times New Roman"/>
        </w:rPr>
      </w:pPr>
    </w:p>
    <w:p w14:paraId="129F88C1" w14:textId="77777777" w:rsidR="00E21607" w:rsidRPr="004826D1" w:rsidRDefault="00E21607" w:rsidP="00E21607">
      <w:pPr>
        <w:pStyle w:val="Heading31"/>
        <w:rPr>
          <w:rFonts w:ascii="Times New Roman" w:hAnsi="Times New Roman"/>
          <w:lang w:val="lv-LV"/>
        </w:rPr>
      </w:pPr>
      <w:bookmarkStart w:id="13" w:name="_Toc169602231"/>
      <w:r w:rsidRPr="004826D1">
        <w:rPr>
          <w:rFonts w:ascii="Times New Roman" w:hAnsi="Times New Roman"/>
          <w:lang w:val="lv-LV"/>
        </w:rPr>
        <w:t>3.1.</w:t>
      </w:r>
      <w:r w:rsidR="00781625" w:rsidRPr="004826D1">
        <w:rPr>
          <w:rFonts w:ascii="Times New Roman" w:hAnsi="Times New Roman"/>
          <w:lang w:val="lv-LV"/>
        </w:rPr>
        <w:t>3</w:t>
      </w:r>
      <w:r w:rsidRPr="004826D1">
        <w:rPr>
          <w:rFonts w:ascii="Times New Roman" w:hAnsi="Times New Roman"/>
          <w:lang w:val="lv-LV"/>
        </w:rPr>
        <w:t>.</w:t>
      </w:r>
      <w:r w:rsidRPr="004826D1">
        <w:rPr>
          <w:rFonts w:ascii="Times New Roman" w:hAnsi="Times New Roman"/>
          <w:lang w:val="lv-LV"/>
        </w:rPr>
        <w:tab/>
        <w:t xml:space="preserve">Nacionālā līmeņa </w:t>
      </w:r>
      <w:r w:rsidR="007E51A4" w:rsidRPr="004826D1">
        <w:rPr>
          <w:rFonts w:ascii="Times New Roman" w:hAnsi="Times New Roman"/>
          <w:lang w:val="lv-LV"/>
        </w:rPr>
        <w:t>Latvijas rīcībpolitikas, kas attiecas uz EnS dimensijām</w:t>
      </w:r>
      <w:bookmarkEnd w:id="13"/>
    </w:p>
    <w:p w14:paraId="0D4E0CC3"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Mērķis</w:t>
      </w:r>
      <w:r w:rsidRPr="004826D1">
        <w:rPr>
          <w:rFonts w:cs="Times New Roman"/>
          <w:color w:val="155452"/>
          <w:szCs w:val="24"/>
        </w:rPr>
        <w:t>:</w:t>
      </w:r>
      <w:r w:rsidRPr="004826D1">
        <w:rPr>
          <w:rFonts w:cs="Times New Roman"/>
          <w:b/>
          <w:bCs/>
          <w:color w:val="155452"/>
          <w:szCs w:val="24"/>
        </w:rPr>
        <w:t xml:space="preserve"> </w:t>
      </w:r>
    </w:p>
    <w:p w14:paraId="064C549C" w14:textId="77777777" w:rsidR="00D70C05" w:rsidRPr="004826D1" w:rsidRDefault="00D70C05" w:rsidP="00B71063">
      <w:pPr>
        <w:pStyle w:val="ListParagraph1"/>
        <w:numPr>
          <w:ilvl w:val="1"/>
          <w:numId w:val="29"/>
        </w:numPr>
        <w:spacing w:before="120" w:after="120"/>
        <w:ind w:left="425" w:hanging="357"/>
        <w:jc w:val="both"/>
        <w:rPr>
          <w:rStyle w:val="ui-provider"/>
          <w:rFonts w:cs="Times New Roman"/>
          <w:sz w:val="24"/>
          <w:szCs w:val="24"/>
        </w:rPr>
      </w:pPr>
      <w:r w:rsidRPr="004826D1">
        <w:rPr>
          <w:rStyle w:val="ui-provider"/>
          <w:rFonts w:cs="Times New Roman"/>
          <w:sz w:val="24"/>
          <w:szCs w:val="24"/>
        </w:rPr>
        <w:t>Nodrošināt Latvijas pilnīgu energoneatkarību par pieejamām un konkurētspējīgām energoresursu cenām;</w:t>
      </w:r>
    </w:p>
    <w:p w14:paraId="395687E4" w14:textId="77777777" w:rsidR="00D70C05" w:rsidRPr="004826D1" w:rsidRDefault="00D70C05" w:rsidP="00B71063">
      <w:pPr>
        <w:pStyle w:val="ListParagraph1"/>
        <w:numPr>
          <w:ilvl w:val="1"/>
          <w:numId w:val="29"/>
        </w:numPr>
        <w:spacing w:before="120" w:after="120"/>
        <w:ind w:left="425" w:hanging="357"/>
        <w:jc w:val="both"/>
        <w:rPr>
          <w:rStyle w:val="ui-provider"/>
          <w:rFonts w:cs="Times New Roman"/>
          <w:sz w:val="24"/>
          <w:szCs w:val="24"/>
        </w:rPr>
      </w:pPr>
      <w:r w:rsidRPr="004826D1">
        <w:rPr>
          <w:rStyle w:val="ui-provider"/>
          <w:rFonts w:cs="Times New Roman"/>
          <w:sz w:val="24"/>
          <w:szCs w:val="24"/>
        </w:rPr>
        <w:t>Veicināt tautsaimniecības dekarbonizāciju, t.sk. ar vispārēju enerģētikas un rūpniecības elektrifikāciju, un investīcijas inovāciju un resursefektivitātes attīstībā;</w:t>
      </w:r>
    </w:p>
    <w:p w14:paraId="47A7F78A" w14:textId="77777777" w:rsidR="00D70C05" w:rsidRPr="004826D1" w:rsidRDefault="00D70C05" w:rsidP="00B71063">
      <w:pPr>
        <w:pStyle w:val="ListParagraph1"/>
        <w:numPr>
          <w:ilvl w:val="1"/>
          <w:numId w:val="29"/>
        </w:numPr>
        <w:spacing w:before="120" w:after="120"/>
        <w:ind w:left="425" w:hanging="357"/>
        <w:jc w:val="both"/>
        <w:rPr>
          <w:rStyle w:val="ui-provider"/>
          <w:rFonts w:cs="Times New Roman"/>
          <w:sz w:val="24"/>
          <w:szCs w:val="24"/>
        </w:rPr>
      </w:pPr>
      <w:r w:rsidRPr="004826D1">
        <w:rPr>
          <w:rStyle w:val="ui-provider"/>
          <w:rFonts w:cs="Times New Roman"/>
          <w:sz w:val="24"/>
          <w:szCs w:val="24"/>
        </w:rPr>
        <w:t>Nostiprināt energoapgādes drošumu.</w:t>
      </w:r>
    </w:p>
    <w:p w14:paraId="11D04E70"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Izaicinājumi</w:t>
      </w:r>
    </w:p>
    <w:p w14:paraId="7F5DE857" w14:textId="58DB2656"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Ņemot vērā uzstādīto elektroenerģijas ražošanas jaudu Latvijā apjomu un nepieciešamību nodrošināt nacionālo patēriņu, Latvija ir elektroenerģijas importētājvalsts. Vēsturisku apstākļu dēļ Latvijas enerģētikas sektors līdz pat Krievijas</w:t>
      </w:r>
      <w:r w:rsidR="00857535">
        <w:rPr>
          <w:rStyle w:val="ui-provider"/>
          <w:rFonts w:cs="Times New Roman"/>
          <w:szCs w:val="24"/>
        </w:rPr>
        <w:t xml:space="preserve"> </w:t>
      </w:r>
      <w:r w:rsidRPr="004826D1">
        <w:rPr>
          <w:rStyle w:val="ui-provider"/>
          <w:rFonts w:cs="Times New Roman"/>
          <w:szCs w:val="24"/>
        </w:rPr>
        <w:t xml:space="preserve">iebrukumam Ukrainā, cieši saistīts ar Krievijas enerģētikas sektoru. Līdz 2022. g. vairāk par 95% dabasgāzes, kā arī būtiska daļa no elektroenerģijas, tika importēti no Krievijas. Kopš 2022. g. Baltijas valstis pieņēmušas būtiskus un nozīmīgus lēmumus, kas ļauj nākotnes enerģētikas sektoru veidot, balstoties uz pašpietiekamību, rūpēm par dabu un cilvēku. Jau 2022. g. izbeigta elektroenerģijas tirdzniecība ar Krieviju, savukārt no 2023. g. aizliegts no Krievijas ievest dabasgāzi. Šie lēmumi ir spēcīgs pamats, uz kura būvēt Latvijas nākotnes enerģētikas politiku. 2023. g. augustā Baltijas valstis pieņēmušas lēmumu paātrinātai sinhronizācijai ar ES vienoto sistēmu, nosakot termiņu līguma izbeigšanai ar BRELL līdz 28.02.2025. </w:t>
      </w:r>
    </w:p>
    <w:p w14:paraId="50A740A6"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Vienlaikus, jāņem vērā, ka enerģētikas nozares transformācija prasa sarežģītu pielāgošanos gan sabiedrībai, gan uzņēmumiem kā arī to, ka šī transformācija norit paralēli jau tā pieaugošajai dzīves dārdzībai un sarūkošam iedzīvotāju skaitam. Līdz ar to jebkurš nākotnē pieņemtais lēmums valdībā un Saeimā prasīs smagas izšķiršanās, kur ir svarīgi ņemt vērā, lai neviena sabiedrības grupa netiek aizmirsta.</w:t>
      </w:r>
    </w:p>
    <w:p w14:paraId="3B6801A3" w14:textId="77777777" w:rsidR="00D70C05" w:rsidRPr="004826D1" w:rsidRDefault="00D70C05" w:rsidP="00D70C05">
      <w:pPr>
        <w:widowControl w:val="0"/>
        <w:suppressAutoHyphens/>
        <w:autoSpaceDN w:val="0"/>
        <w:spacing w:before="120" w:after="120"/>
        <w:jc w:val="both"/>
        <w:rPr>
          <w:rFonts w:eastAsia="SimSun" w:cs="Times New Roman"/>
          <w:color w:val="000000"/>
          <w:kern w:val="3"/>
          <w:szCs w:val="24"/>
        </w:rPr>
      </w:pPr>
      <w:r w:rsidRPr="004826D1">
        <w:rPr>
          <w:rFonts w:eastAsia="SimSun" w:cs="Times New Roman"/>
          <w:color w:val="000000"/>
          <w:kern w:val="3"/>
          <w:szCs w:val="24"/>
        </w:rPr>
        <w:t>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w:t>
      </w:r>
    </w:p>
    <w:p w14:paraId="2013A22F" w14:textId="77777777" w:rsidR="00D70C05" w:rsidRPr="004826D1" w:rsidRDefault="00D70C05" w:rsidP="00D70C05">
      <w:pPr>
        <w:widowControl w:val="0"/>
        <w:suppressAutoHyphens/>
        <w:autoSpaceDN w:val="0"/>
        <w:spacing w:before="120" w:after="120"/>
        <w:jc w:val="both"/>
        <w:rPr>
          <w:rStyle w:val="ui-provider"/>
          <w:rFonts w:eastAsia="SimSun" w:cs="Times New Roman"/>
          <w:color w:val="000000"/>
          <w:kern w:val="3"/>
          <w:szCs w:val="24"/>
        </w:rPr>
      </w:pPr>
      <w:r w:rsidRPr="004826D1">
        <w:rPr>
          <w:rFonts w:eastAsia="SimSun" w:cs="Times New Roman"/>
          <w:color w:val="000000"/>
          <w:kern w:val="3"/>
          <w:szCs w:val="24"/>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14:paraId="2C41A1FE"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Latvijas priekšrocības</w:t>
      </w:r>
    </w:p>
    <w:p w14:paraId="6CF05A99"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Lai transformētu Latvijas enerģētiku no importētājvalsts uz enerģijas eksportētājvalsti, nepieciešams veikt virkni regulējuma pielāgojumu. Transformācijas pamatā ir esošo priekšrocību izmantošana. Tās ir:</w:t>
      </w:r>
    </w:p>
    <w:p w14:paraId="5BD08ACE" w14:textId="77777777" w:rsidR="00D70C05" w:rsidRPr="004826D1" w:rsidRDefault="00D70C05" w:rsidP="00D70C05">
      <w:pPr>
        <w:spacing w:before="120" w:after="120"/>
        <w:jc w:val="both"/>
        <w:rPr>
          <w:rStyle w:val="ui-provider"/>
          <w:rFonts w:cs="Times New Roman"/>
          <w:i/>
          <w:color w:val="006666"/>
          <w:szCs w:val="24"/>
        </w:rPr>
      </w:pPr>
      <w:r w:rsidRPr="004826D1">
        <w:rPr>
          <w:rStyle w:val="ui-provider"/>
          <w:rFonts w:cs="Times New Roman"/>
          <w:i/>
          <w:color w:val="006666"/>
          <w:szCs w:val="24"/>
        </w:rPr>
        <w:t xml:space="preserve">Dabas resursu priekšrocība </w:t>
      </w:r>
    </w:p>
    <w:p w14:paraId="6A69D7FA" w14:textId="77777777" w:rsidR="00D70C05" w:rsidRPr="004826D1" w:rsidRDefault="00D70C05" w:rsidP="00B71063">
      <w:pPr>
        <w:pStyle w:val="ListParagraph1"/>
        <w:numPr>
          <w:ilvl w:val="1"/>
          <w:numId w:val="29"/>
        </w:numPr>
        <w:spacing w:before="120" w:after="120"/>
        <w:ind w:left="426"/>
        <w:jc w:val="both"/>
        <w:rPr>
          <w:rStyle w:val="ui-provider"/>
          <w:rFonts w:cs="Times New Roman"/>
          <w:sz w:val="24"/>
          <w:szCs w:val="24"/>
        </w:rPr>
      </w:pPr>
      <w:r w:rsidRPr="004826D1">
        <w:rPr>
          <w:rFonts w:cs="Times New Roman"/>
          <w:color w:val="000000"/>
          <w:sz w:val="24"/>
          <w:szCs w:val="24"/>
        </w:rPr>
        <w:t>2023. g. sākumā Latvijā mežaudžu platība bija 3304,8 tūkstoši hektāru un mežainums – 51,2%</w:t>
      </w:r>
      <w:r w:rsidRPr="004826D1">
        <w:rPr>
          <w:rFonts w:cs="Times New Roman"/>
          <w:sz w:val="24"/>
          <w:szCs w:val="24"/>
          <w:vertAlign w:val="superscript"/>
        </w:rPr>
        <w:footnoteReference w:id="29"/>
      </w:r>
      <w:r w:rsidRPr="004826D1">
        <w:rPr>
          <w:rFonts w:cs="Times New Roman"/>
          <w:sz w:val="24"/>
          <w:szCs w:val="24"/>
        </w:rPr>
        <w:t xml:space="preserve">, </w:t>
      </w:r>
      <w:r w:rsidRPr="004826D1">
        <w:rPr>
          <w:rStyle w:val="ui-provider"/>
          <w:rFonts w:cs="Times New Roman"/>
          <w:sz w:val="24"/>
          <w:szCs w:val="24"/>
        </w:rPr>
        <w:t>savukārt kopējā koksnes krāja mežos sasniedza 680milj. m</w:t>
      </w:r>
      <w:r w:rsidRPr="004826D1">
        <w:rPr>
          <w:rStyle w:val="ui-provider"/>
          <w:rFonts w:cs="Times New Roman"/>
          <w:sz w:val="24"/>
          <w:szCs w:val="24"/>
          <w:vertAlign w:val="superscript"/>
        </w:rPr>
        <w:t xml:space="preserve">3 </w:t>
      </w:r>
      <w:r w:rsidRPr="004826D1">
        <w:rPr>
          <w:rStyle w:val="ui-provider"/>
          <w:rFonts w:cs="Times New Roman"/>
          <w:sz w:val="24"/>
          <w:szCs w:val="24"/>
          <w:vertAlign w:val="superscript"/>
        </w:rPr>
        <w:footnoteReference w:id="30"/>
      </w:r>
      <w:r w:rsidRPr="004826D1">
        <w:rPr>
          <w:rStyle w:val="ui-provider"/>
          <w:rFonts w:cs="Times New Roman"/>
          <w:sz w:val="24"/>
          <w:szCs w:val="24"/>
        </w:rPr>
        <w:t>.</w:t>
      </w:r>
    </w:p>
    <w:p w14:paraId="798F752C" w14:textId="77777777" w:rsidR="00D70C05" w:rsidRPr="004826D1" w:rsidRDefault="00D70C05" w:rsidP="00B71063">
      <w:pPr>
        <w:pStyle w:val="ListParagraph1"/>
        <w:numPr>
          <w:ilvl w:val="1"/>
          <w:numId w:val="29"/>
        </w:numPr>
        <w:spacing w:before="120" w:after="120"/>
        <w:ind w:left="426"/>
        <w:jc w:val="both"/>
        <w:rPr>
          <w:rStyle w:val="ui-provider"/>
          <w:rFonts w:cs="Times New Roman"/>
          <w:sz w:val="24"/>
          <w:szCs w:val="24"/>
        </w:rPr>
      </w:pPr>
      <w:r w:rsidRPr="004826D1">
        <w:rPr>
          <w:rStyle w:val="ui-provider"/>
          <w:rFonts w:cs="Times New Roman"/>
          <w:sz w:val="24"/>
          <w:szCs w:val="24"/>
        </w:rPr>
        <w:lastRenderedPageBreak/>
        <w:t>Latvijā ir labi attīstītas lopkopības un putnkopības nozares, kurām raksturīgs liels skaits salīdzinoši nelielu saimniecību. Sadrumstalotais nozares raksturojums, nav ļāvis līdz šim efektīvi izmantot lauksaimniecības blakusproduktus (atlikumproduktus) biometāna ražošanai. Aplēsts, ka izmantojot Latvijas biometāna ražošanas potenciālu, iespējams pilnībā aizstāt visu dabasgāzes patēriņu mājsaimniecībās</w:t>
      </w:r>
      <w:r w:rsidRPr="004826D1">
        <w:rPr>
          <w:rStyle w:val="FootnoteReference"/>
          <w:rFonts w:eastAsia="Calibri"/>
          <w:sz w:val="24"/>
          <w:szCs w:val="24"/>
        </w:rPr>
        <w:footnoteReference w:id="31"/>
      </w:r>
      <w:r w:rsidRPr="004826D1">
        <w:rPr>
          <w:rStyle w:val="ui-provider"/>
          <w:rFonts w:cs="Times New Roman"/>
          <w:sz w:val="24"/>
          <w:szCs w:val="24"/>
        </w:rPr>
        <w:t>.</w:t>
      </w:r>
    </w:p>
    <w:p w14:paraId="0F8F13A5" w14:textId="77777777" w:rsidR="00D70C05" w:rsidRPr="004826D1" w:rsidRDefault="00D70C05" w:rsidP="00B71063">
      <w:pPr>
        <w:pStyle w:val="ListParagraph1"/>
        <w:numPr>
          <w:ilvl w:val="1"/>
          <w:numId w:val="29"/>
        </w:numPr>
        <w:spacing w:before="120" w:after="120"/>
        <w:ind w:left="426"/>
        <w:jc w:val="both"/>
        <w:rPr>
          <w:rStyle w:val="ui-provider"/>
          <w:rFonts w:cs="Times New Roman"/>
          <w:sz w:val="24"/>
          <w:szCs w:val="24"/>
        </w:rPr>
      </w:pPr>
      <w:r w:rsidRPr="004826D1">
        <w:rPr>
          <w:rStyle w:val="ui-provider"/>
          <w:rFonts w:cs="Times New Roman"/>
          <w:sz w:val="24"/>
          <w:szCs w:val="24"/>
        </w:rPr>
        <w:t>Latvijā ir salīdzinoši zems iedzīvotāju blīvums, piemērota, līdzena topoloģija un piemērots vēja ātrums izmaksu efektīvai vēja enerģijas izmantošanai elektroenerģijas ražošanai.</w:t>
      </w:r>
    </w:p>
    <w:p w14:paraId="7EF161C0" w14:textId="77777777" w:rsidR="00D70C05" w:rsidRPr="004826D1" w:rsidRDefault="00D70C05" w:rsidP="00D70C05">
      <w:pPr>
        <w:spacing w:before="120" w:after="120"/>
        <w:jc w:val="both"/>
        <w:rPr>
          <w:rStyle w:val="ui-provider"/>
          <w:rFonts w:cs="Times New Roman"/>
          <w:i/>
          <w:iCs/>
          <w:color w:val="006666"/>
          <w:szCs w:val="24"/>
        </w:rPr>
      </w:pPr>
      <w:r w:rsidRPr="004826D1">
        <w:rPr>
          <w:rStyle w:val="ui-provider"/>
          <w:rFonts w:cs="Times New Roman"/>
          <w:i/>
          <w:iCs/>
          <w:color w:val="006666"/>
          <w:szCs w:val="24"/>
        </w:rPr>
        <w:t>Efektīva energoapgādes infrastruktūra</w:t>
      </w:r>
    </w:p>
    <w:p w14:paraId="0D400787"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 xml:space="preserve">Latvijā eksistē trīs enerģijas tīkli – elektroenerģijas, dabasgāzes, un centralizētās siltumapgādes, kas tiešā vai pastarpinātā veidā spēj piedāvāt tos pašu energopakalpojumus. Eksistējošā infrastruktūra ļauj nodrošināt ātrāku pārslēgšanos un sistēmas efektivizēšanu. Proti pat bez papildu elektroenerģijas sistēmas stiprināšanas, Latvijas elektroenerģijas tīkls spēj uzņemt teju 3,5 reizes vairāk elektroenerģijas nekā esošais Latvijas patēriņš. Tas nozīmē, ka bez ilgtermiņa tīkla pārstrukturēšanas ir iespējas uzsākt lieljaudas AER elektroenerģijas ražošanu. Vienlaikus, jāņem vērā, ka, lai esošo tīklu izmantotu lietderīgi, sistēmvadības un pieslēgumu attīstības procesi jāsalāgo ar jauno </w:t>
      </w:r>
      <w:bookmarkStart w:id="14" w:name="_Hlk148901645"/>
      <w:r w:rsidRPr="004826D1">
        <w:rPr>
          <w:rStyle w:val="ui-provider"/>
          <w:rFonts w:cs="Times New Roman"/>
          <w:szCs w:val="24"/>
        </w:rPr>
        <w:t>energoresursu periodiskumu.</w:t>
      </w:r>
      <w:bookmarkEnd w:id="14"/>
    </w:p>
    <w:p w14:paraId="6C6D746C" w14:textId="77777777" w:rsidR="00D70C05" w:rsidRPr="004826D1" w:rsidRDefault="00D70C05" w:rsidP="00D70C05">
      <w:pPr>
        <w:spacing w:before="120" w:after="120"/>
        <w:jc w:val="both"/>
        <w:rPr>
          <w:rStyle w:val="ui-provider"/>
          <w:rFonts w:cs="Times New Roman"/>
          <w:i/>
          <w:iCs/>
          <w:color w:val="006666"/>
          <w:szCs w:val="24"/>
        </w:rPr>
      </w:pPr>
      <w:r w:rsidRPr="004826D1">
        <w:rPr>
          <w:rStyle w:val="ui-provider"/>
          <w:rFonts w:cs="Times New Roman"/>
          <w:i/>
          <w:iCs/>
          <w:color w:val="006666"/>
          <w:szCs w:val="24"/>
        </w:rPr>
        <w:t>Liberalizēti tirgi, izmaksās balstīti tarifi</w:t>
      </w:r>
    </w:p>
    <w:p w14:paraId="3E183DC8"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Kopš 2015. g. Latvijā ir pilnībā atvērts elektroenerģijas mazumtirgus un kopš 2023. g. – dabasgāzes mazumtirgus. Būtisks darbs ieguldīts arī tajā, lai nodrošinātu ilgtspējīgu, izmaksas atspoguļojošu elektroenerģijas tarifu struktūru, kas stimulē efektīvu tīklu izmantošanu. Papildus tam, teju visi vairumtirgus darījumi noris elektroenerģijas biržā. Tas nozīmē, ka gan nozares uzņēmumi, gan lietotāji ir ar salīdzinoši augstu pratību un briedumu.</w:t>
      </w:r>
    </w:p>
    <w:p w14:paraId="430706E2"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Transformācijas pamatā ir četri galvenie regulējuma attīstības mērķi, kas noteikti četriem enerģētikas pamatsektoriem:</w:t>
      </w:r>
    </w:p>
    <w:p w14:paraId="7F9FF526"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Ciešāka sadarbība ar ES;</w:t>
      </w:r>
    </w:p>
    <w:p w14:paraId="368CA5F8"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Efektīva kopīgās infrastruktūras izmantošana;</w:t>
      </w:r>
    </w:p>
    <w:p w14:paraId="4CC7FBFA"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Aktīvo lietotāju stiprināšana;</w:t>
      </w:r>
    </w:p>
    <w:p w14:paraId="2F1A7A57"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Latvijā ražotu resursu lietošana.</w:t>
      </w:r>
    </w:p>
    <w:p w14:paraId="25D43140" w14:textId="77777777" w:rsidR="00D70C05" w:rsidRDefault="00D70C05" w:rsidP="00D70C05">
      <w:pPr>
        <w:spacing w:before="120" w:after="120"/>
        <w:jc w:val="both"/>
        <w:rPr>
          <w:rStyle w:val="ui-provider"/>
          <w:rFonts w:cs="Times New Roman"/>
          <w:szCs w:val="24"/>
        </w:rPr>
      </w:pPr>
      <w:r w:rsidRPr="004826D1">
        <w:rPr>
          <w:rStyle w:val="ui-provider"/>
          <w:rFonts w:cs="Times New Roman"/>
          <w:szCs w:val="24"/>
        </w:rPr>
        <w:t>Transformācijas ietvarā paredzēts īstenot virkni tiesību aktu grozījumu elektroenerģijas, gāzveida kurināmā un siltumenerģijas nozarēs.</w:t>
      </w:r>
    </w:p>
    <w:p w14:paraId="58722F54" w14:textId="77777777" w:rsidR="007366B2" w:rsidRPr="004826D1" w:rsidRDefault="007366B2" w:rsidP="00D70C05">
      <w:pPr>
        <w:spacing w:before="120" w:after="120"/>
        <w:jc w:val="both"/>
        <w:rPr>
          <w:rFonts w:cs="Times New Roman"/>
          <w:b/>
          <w:color w:val="155452"/>
          <w:szCs w:val="24"/>
        </w:rPr>
      </w:pPr>
      <w:r>
        <w:rPr>
          <w:rStyle w:val="ui-provider"/>
          <w:rFonts w:cs="Times New Roman"/>
          <w:szCs w:val="24"/>
        </w:rPr>
        <w:t>Liberalizētu tirgu darbības shēma sniegta 3.2. attēlā.</w:t>
      </w:r>
    </w:p>
    <w:p w14:paraId="2F8E8381" w14:textId="585AF0E0" w:rsidR="00D70C05" w:rsidRPr="004826D1" w:rsidRDefault="000654E1" w:rsidP="00D70C05">
      <w:pPr>
        <w:pStyle w:val="VirsrkastsOtrais"/>
        <w:numPr>
          <w:ilvl w:val="0"/>
          <w:numId w:val="0"/>
        </w:numPr>
        <w:spacing w:after="120"/>
        <w:jc w:val="center"/>
        <w:rPr>
          <w:rFonts w:ascii="Times New Roman" w:hAnsi="Times New Roman"/>
          <w:sz w:val="24"/>
          <w:szCs w:val="24"/>
          <w:lang w:val="lv-LV"/>
        </w:rPr>
      </w:pPr>
      <w:r>
        <w:rPr>
          <w:rFonts w:ascii="Times New Roman" w:hAnsi="Times New Roman"/>
          <w:noProof/>
          <w:sz w:val="24"/>
          <w:szCs w:val="24"/>
          <w:lang w:val="lv-LV"/>
        </w:rPr>
        <w:drawing>
          <wp:inline distT="0" distB="0" distL="0" distR="0" wp14:anchorId="35AFD6B2" wp14:editId="2E42830A">
            <wp:extent cx="4838700" cy="2000250"/>
            <wp:effectExtent l="0" t="0" r="0" b="0"/>
            <wp:docPr id="2"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899673" descr="A screenshot of a computer screen&#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t="20808"/>
                    <a:stretch>
                      <a:fillRect/>
                    </a:stretch>
                  </pic:blipFill>
                  <pic:spPr bwMode="auto">
                    <a:xfrm>
                      <a:off x="0" y="0"/>
                      <a:ext cx="4838700" cy="2000250"/>
                    </a:xfrm>
                    <a:prstGeom prst="rect">
                      <a:avLst/>
                    </a:prstGeom>
                    <a:noFill/>
                    <a:ln>
                      <a:noFill/>
                    </a:ln>
                  </pic:spPr>
                </pic:pic>
              </a:graphicData>
            </a:graphic>
          </wp:inline>
        </w:drawing>
      </w:r>
    </w:p>
    <w:p w14:paraId="0957CB7A" w14:textId="77777777" w:rsidR="007366B2" w:rsidRPr="007366B2" w:rsidRDefault="007366B2" w:rsidP="007366B2">
      <w:pPr>
        <w:spacing w:before="120" w:after="120"/>
        <w:jc w:val="both"/>
        <w:rPr>
          <w:rFonts w:cs="Times New Roman"/>
          <w:b/>
          <w:color w:val="155452"/>
          <w:szCs w:val="24"/>
        </w:rPr>
      </w:pPr>
      <w:bookmarkStart w:id="15" w:name="_Toc147174957"/>
      <w:bookmarkStart w:id="16" w:name="_Toc146638804"/>
      <w:bookmarkStart w:id="17" w:name="_Toc146639194"/>
      <w:bookmarkStart w:id="18" w:name="_Toc146639307"/>
      <w:bookmarkStart w:id="19" w:name="_Toc146641485"/>
      <w:bookmarkStart w:id="20" w:name="_Toc146702078"/>
      <w:bookmarkStart w:id="21" w:name="_Toc146793406"/>
      <w:r w:rsidRPr="007366B2">
        <w:rPr>
          <w:rStyle w:val="ui-provider"/>
          <w:rFonts w:cs="Times New Roman"/>
          <w:b/>
          <w:szCs w:val="24"/>
        </w:rPr>
        <w:t xml:space="preserve">3.2. attēls. Liberalizētu tirgu darbības shēma </w:t>
      </w:r>
    </w:p>
    <w:p w14:paraId="0825B21C" w14:textId="77777777" w:rsidR="00D70C05" w:rsidRPr="004826D1" w:rsidRDefault="00D70C05" w:rsidP="00D70C05">
      <w:pPr>
        <w:spacing w:before="120" w:after="120"/>
        <w:jc w:val="both"/>
        <w:rPr>
          <w:rFonts w:cs="Times New Roman"/>
          <w:b/>
          <w:color w:val="155452"/>
          <w:szCs w:val="24"/>
        </w:rPr>
      </w:pPr>
    </w:p>
    <w:p w14:paraId="292E84C9"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lastRenderedPageBreak/>
        <w:t>Rīcībpolitikas virzieni elektroenerģijas nozarē</w:t>
      </w:r>
      <w:bookmarkEnd w:id="15"/>
    </w:p>
    <w:p w14:paraId="78A8D7BA" w14:textId="77777777" w:rsidR="00D70C05" w:rsidRDefault="00D70C05" w:rsidP="00D70C05">
      <w:pPr>
        <w:spacing w:before="120" w:after="120"/>
        <w:jc w:val="both"/>
        <w:rPr>
          <w:rFonts w:cs="Times New Roman"/>
          <w:szCs w:val="24"/>
        </w:rPr>
      </w:pPr>
      <w:r w:rsidRPr="004826D1">
        <w:rPr>
          <w:rFonts w:cs="Times New Roman"/>
          <w:szCs w:val="24"/>
        </w:rPr>
        <w:t>Elektroenerģija ir centrāla loma Latvijas tautsaimniecības dekarbonizācijai. Ievērojot Latvijas dabiskās priekšrocības, Latvijai ir būtisks un pagaidām ne pilnīgi apgūts potenciāls ražot reģionā un ES konkurētspējīgu elektroenerģiju. Attiecīgi rīcībpolitiku virzieni izstrādāti ar mērķi veicināt izmaksās efektīvas elektroenerģijas ražošanu, aktīvo lietotāju stiprināšanu un ciešāku sadarbību ar ES.</w:t>
      </w:r>
    </w:p>
    <w:p w14:paraId="0068EA11" w14:textId="77777777" w:rsidR="00B87875" w:rsidRDefault="00B87875" w:rsidP="00D70C05">
      <w:pPr>
        <w:spacing w:before="120" w:after="120"/>
        <w:jc w:val="both"/>
        <w:rPr>
          <w:rFonts w:cs="Times New Roman"/>
          <w:szCs w:val="24"/>
        </w:rPr>
      </w:pPr>
      <w:r w:rsidRPr="00B87875">
        <w:rPr>
          <w:rFonts w:cs="Times New Roman"/>
          <w:szCs w:val="24"/>
        </w:rPr>
        <w:t>Rīcībpolitikas virzieni elektroenerģijas nozarē</w:t>
      </w:r>
      <w:r>
        <w:rPr>
          <w:rFonts w:cs="Times New Roman"/>
          <w:szCs w:val="24"/>
        </w:rPr>
        <w:t xml:space="preserve"> grafiski kopsavilkti 3.3. attēlā.</w:t>
      </w:r>
    </w:p>
    <w:p w14:paraId="53E84C71" w14:textId="77777777" w:rsidR="007366B2" w:rsidRPr="004826D1" w:rsidRDefault="007366B2" w:rsidP="00D70C05">
      <w:pPr>
        <w:spacing w:before="120" w:after="120"/>
        <w:jc w:val="both"/>
        <w:rPr>
          <w:rFonts w:cs="Times New Roman"/>
          <w:szCs w:val="24"/>
        </w:rPr>
      </w:pPr>
    </w:p>
    <w:bookmarkEnd w:id="16"/>
    <w:bookmarkEnd w:id="17"/>
    <w:bookmarkEnd w:id="18"/>
    <w:bookmarkEnd w:id="19"/>
    <w:bookmarkEnd w:id="20"/>
    <w:bookmarkEnd w:id="21"/>
    <w:p w14:paraId="11C962B9" w14:textId="4EFB054D" w:rsidR="007366B2" w:rsidRDefault="000654E1" w:rsidP="00D70C05">
      <w:pPr>
        <w:spacing w:before="120" w:after="120"/>
        <w:jc w:val="center"/>
        <w:rPr>
          <w:rFonts w:cs="Times New Roman"/>
          <w:b/>
          <w:noProof/>
          <w:color w:val="155452"/>
          <w:szCs w:val="24"/>
          <w:lang w:eastAsia="lv-LV"/>
        </w:rPr>
      </w:pPr>
      <w:r>
        <w:rPr>
          <w:rFonts w:cs="Times New Roman"/>
          <w:b/>
          <w:noProof/>
          <w:color w:val="155452"/>
          <w:szCs w:val="24"/>
          <w:lang w:eastAsia="lv-LV"/>
        </w:rPr>
        <w:drawing>
          <wp:inline distT="0" distB="0" distL="0" distR="0" wp14:anchorId="35CC4D32" wp14:editId="68F230AE">
            <wp:extent cx="4914900" cy="2409825"/>
            <wp:effectExtent l="0" t="0" r="0" b="0"/>
            <wp:docPr id="3" name="Picture 1754122505" descr="A diagram of a power sour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122505" descr="A diagram of a power sourc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4900" cy="2409825"/>
                    </a:xfrm>
                    <a:prstGeom prst="rect">
                      <a:avLst/>
                    </a:prstGeom>
                    <a:noFill/>
                    <a:ln>
                      <a:noFill/>
                    </a:ln>
                  </pic:spPr>
                </pic:pic>
              </a:graphicData>
            </a:graphic>
          </wp:inline>
        </w:drawing>
      </w:r>
    </w:p>
    <w:p w14:paraId="75DD02A2" w14:textId="77777777" w:rsidR="007366B2" w:rsidRPr="00B87875" w:rsidRDefault="007366B2" w:rsidP="007366B2">
      <w:pPr>
        <w:spacing w:before="120" w:after="120"/>
        <w:jc w:val="both"/>
        <w:rPr>
          <w:rFonts w:cs="Times New Roman"/>
          <w:b/>
          <w:color w:val="155452"/>
          <w:szCs w:val="24"/>
        </w:rPr>
      </w:pPr>
      <w:r w:rsidRPr="00B87875">
        <w:rPr>
          <w:rStyle w:val="ui-provider"/>
          <w:rFonts w:cs="Times New Roman"/>
          <w:b/>
          <w:szCs w:val="24"/>
        </w:rPr>
        <w:t>3.</w:t>
      </w:r>
      <w:r w:rsidR="00B87875">
        <w:rPr>
          <w:rStyle w:val="ui-provider"/>
          <w:rFonts w:cs="Times New Roman"/>
          <w:b/>
          <w:szCs w:val="24"/>
        </w:rPr>
        <w:t>3</w:t>
      </w:r>
      <w:r w:rsidRPr="00B87875">
        <w:rPr>
          <w:rStyle w:val="ui-provider"/>
          <w:rFonts w:cs="Times New Roman"/>
          <w:b/>
          <w:szCs w:val="24"/>
        </w:rPr>
        <w:t xml:space="preserve">. attēls. </w:t>
      </w:r>
      <w:r w:rsidR="00B87875" w:rsidRPr="00B87875">
        <w:rPr>
          <w:rFonts w:cs="Times New Roman"/>
          <w:b/>
          <w:szCs w:val="24"/>
        </w:rPr>
        <w:t>Rīcībpolitikas virzieni elektroenerģijas nozarē</w:t>
      </w:r>
      <w:r w:rsidRPr="00B87875">
        <w:rPr>
          <w:rStyle w:val="ui-provider"/>
          <w:rFonts w:cs="Times New Roman"/>
          <w:b/>
          <w:szCs w:val="24"/>
        </w:rPr>
        <w:t xml:space="preserve"> </w:t>
      </w:r>
    </w:p>
    <w:p w14:paraId="3ABB003B" w14:textId="77777777" w:rsidR="00D70C05" w:rsidRPr="004826D1" w:rsidRDefault="00D70C05" w:rsidP="00D70C05">
      <w:pPr>
        <w:spacing w:before="120" w:after="120"/>
        <w:jc w:val="center"/>
        <w:rPr>
          <w:rFonts w:cs="Times New Roman"/>
          <w:b/>
          <w:bCs/>
          <w:color w:val="155452"/>
          <w:szCs w:val="24"/>
        </w:rPr>
      </w:pPr>
    </w:p>
    <w:p w14:paraId="7D18F031" w14:textId="77777777" w:rsidR="00887037" w:rsidRDefault="00887037" w:rsidP="00D70C05">
      <w:pPr>
        <w:spacing w:before="120" w:after="120"/>
        <w:jc w:val="both"/>
        <w:rPr>
          <w:rFonts w:cs="Times New Roman"/>
          <w:b/>
          <w:bCs/>
          <w:color w:val="155452"/>
          <w:szCs w:val="24"/>
        </w:rPr>
      </w:pPr>
      <w:bookmarkStart w:id="22" w:name="_Toc147174959"/>
      <w:bookmarkStart w:id="23" w:name="_Toc146638805"/>
      <w:bookmarkStart w:id="24" w:name="_Toc146639195"/>
      <w:bookmarkStart w:id="25" w:name="_Toc146639308"/>
      <w:bookmarkStart w:id="26" w:name="_Toc146641486"/>
      <w:bookmarkStart w:id="27" w:name="_Toc146702079"/>
      <w:bookmarkStart w:id="28" w:name="_Toc146793407"/>
    </w:p>
    <w:p w14:paraId="3304A92E"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Rīcībpolitikas virzieni gāzveida kurināmā nozarē</w:t>
      </w:r>
      <w:bookmarkEnd w:id="22"/>
    </w:p>
    <w:p w14:paraId="00438C13" w14:textId="77777777" w:rsidR="005172F4" w:rsidRPr="005172F4" w:rsidRDefault="005172F4" w:rsidP="005172F4">
      <w:pPr>
        <w:spacing w:before="120" w:after="120"/>
        <w:jc w:val="both"/>
        <w:rPr>
          <w:rFonts w:cs="Times New Roman"/>
          <w:szCs w:val="24"/>
        </w:rPr>
      </w:pPr>
      <w:r w:rsidRPr="005172F4">
        <w:rPr>
          <w:rFonts w:cs="Times New Roman"/>
          <w:szCs w:val="24"/>
        </w:rPr>
        <w:t>Rīcībpolitikas virzieni gāzveida kurināmā nozarē grafiski kopsavilkti 3.4. attēlā.</w:t>
      </w:r>
    </w:p>
    <w:bookmarkEnd w:id="23"/>
    <w:bookmarkEnd w:id="24"/>
    <w:bookmarkEnd w:id="25"/>
    <w:bookmarkEnd w:id="26"/>
    <w:bookmarkEnd w:id="27"/>
    <w:bookmarkEnd w:id="28"/>
    <w:p w14:paraId="3A6156FF" w14:textId="0C97214C"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9BA4B88" wp14:editId="2D5675CE">
            <wp:extent cx="5762625" cy="3238500"/>
            <wp:effectExtent l="0" t="0" r="9525" b="0"/>
            <wp:docPr id="4" name="Picture 174579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7933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35340EA" w14:textId="77777777" w:rsidR="005172F4" w:rsidRPr="00B87875" w:rsidRDefault="005172F4" w:rsidP="005172F4">
      <w:pPr>
        <w:spacing w:before="120" w:after="120"/>
        <w:jc w:val="both"/>
        <w:rPr>
          <w:rFonts w:cs="Times New Roman"/>
          <w:b/>
          <w:color w:val="155452"/>
          <w:szCs w:val="24"/>
        </w:rPr>
      </w:pPr>
      <w:bookmarkStart w:id="29" w:name="_Toc147174961"/>
      <w:bookmarkStart w:id="30" w:name="_Toc146638806"/>
      <w:bookmarkStart w:id="31" w:name="_Toc146639196"/>
      <w:bookmarkStart w:id="32" w:name="_Toc146639309"/>
      <w:bookmarkStart w:id="33" w:name="_Toc146641487"/>
      <w:bookmarkStart w:id="34" w:name="_Toc146702080"/>
      <w:bookmarkStart w:id="35" w:name="_Toc146793408"/>
      <w:r w:rsidRPr="00B87875">
        <w:rPr>
          <w:rStyle w:val="ui-provider"/>
          <w:rFonts w:cs="Times New Roman"/>
          <w:b/>
          <w:szCs w:val="24"/>
        </w:rPr>
        <w:t>3.</w:t>
      </w:r>
      <w:r>
        <w:rPr>
          <w:rStyle w:val="ui-provider"/>
          <w:rFonts w:cs="Times New Roman"/>
          <w:b/>
          <w:szCs w:val="24"/>
        </w:rPr>
        <w:t>4</w:t>
      </w:r>
      <w:r w:rsidRPr="00B87875">
        <w:rPr>
          <w:rStyle w:val="ui-provider"/>
          <w:rFonts w:cs="Times New Roman"/>
          <w:b/>
          <w:szCs w:val="24"/>
        </w:rPr>
        <w:t xml:space="preserve">. attēls. </w:t>
      </w:r>
      <w:r w:rsidRPr="00B87875">
        <w:rPr>
          <w:rFonts w:cs="Times New Roman"/>
          <w:b/>
          <w:szCs w:val="24"/>
        </w:rPr>
        <w:t xml:space="preserve">Rīcībpolitikas virzieni </w:t>
      </w:r>
      <w:r>
        <w:rPr>
          <w:rFonts w:cs="Times New Roman"/>
          <w:b/>
          <w:szCs w:val="24"/>
        </w:rPr>
        <w:t>gāzveida kurināmā</w:t>
      </w:r>
      <w:r w:rsidRPr="00B87875">
        <w:rPr>
          <w:rFonts w:cs="Times New Roman"/>
          <w:b/>
          <w:szCs w:val="24"/>
        </w:rPr>
        <w:t xml:space="preserve"> nozarē</w:t>
      </w:r>
      <w:r w:rsidRPr="00B87875">
        <w:rPr>
          <w:rStyle w:val="ui-provider"/>
          <w:rFonts w:cs="Times New Roman"/>
          <w:b/>
          <w:szCs w:val="24"/>
        </w:rPr>
        <w:t xml:space="preserve"> </w:t>
      </w:r>
    </w:p>
    <w:p w14:paraId="6BEE35C9" w14:textId="77777777" w:rsidR="005172F4" w:rsidRDefault="005172F4" w:rsidP="00D70C05">
      <w:pPr>
        <w:spacing w:before="120" w:after="120"/>
        <w:jc w:val="both"/>
        <w:rPr>
          <w:rFonts w:cs="Times New Roman"/>
          <w:b/>
          <w:color w:val="155452"/>
          <w:szCs w:val="24"/>
        </w:rPr>
      </w:pPr>
    </w:p>
    <w:p w14:paraId="1A3230F1" w14:textId="77777777" w:rsidR="00887037" w:rsidRPr="004826D1" w:rsidRDefault="00887037" w:rsidP="00887037">
      <w:pPr>
        <w:spacing w:before="120" w:after="120"/>
        <w:jc w:val="both"/>
        <w:rPr>
          <w:rFonts w:cs="Times New Roman"/>
          <w:szCs w:val="24"/>
        </w:rPr>
      </w:pPr>
      <w:r w:rsidRPr="004826D1">
        <w:rPr>
          <w:rFonts w:cs="Times New Roman"/>
          <w:szCs w:val="24"/>
        </w:rPr>
        <w:lastRenderedPageBreak/>
        <w:t>Vēsturiski izveidojies, ka Latvijā izbūvētas trīs energosistēmas – elektroenerģijas apgādes, gāzapgādes un lielākajās apdzīvotajās vietās – centralizētas siltumapgādes sistēmas. Eksistējošā infrastruktūra dod iespēju lietotājiem dažādot enerģijas portfeli,</w:t>
      </w:r>
      <w:r>
        <w:rPr>
          <w:rFonts w:cs="Times New Roman"/>
          <w:szCs w:val="24"/>
        </w:rPr>
        <w:t xml:space="preserve"> </w:t>
      </w:r>
      <w:r w:rsidRPr="004826D1">
        <w:rPr>
          <w:rFonts w:cs="Times New Roman"/>
          <w:szCs w:val="24"/>
        </w:rPr>
        <w:t>tajā skaitā nozares izmaiņu vai ārēju notikumu gadījumos.</w:t>
      </w:r>
    </w:p>
    <w:p w14:paraId="128C55B6" w14:textId="77777777" w:rsidR="00887037" w:rsidRDefault="00887037" w:rsidP="00887037">
      <w:pPr>
        <w:spacing w:before="120" w:after="120"/>
        <w:jc w:val="both"/>
        <w:rPr>
          <w:rFonts w:cs="Times New Roman"/>
          <w:szCs w:val="24"/>
        </w:rPr>
      </w:pPr>
      <w:r w:rsidRPr="004826D1">
        <w:rPr>
          <w:rFonts w:cs="Times New Roman"/>
          <w:szCs w:val="24"/>
        </w:rPr>
        <w:t>Tāpat svarīgi ņemt vērā, ka kontekstā ar elektroenerģijas ražošanas pieaugumu, kā arī pieejamo tehnoloģiju attīstību, palielinās ekonomiskais pamatojums atjaunīgā</w:t>
      </w:r>
      <w:r>
        <w:rPr>
          <w:rFonts w:cs="Times New Roman"/>
          <w:szCs w:val="24"/>
        </w:rPr>
        <w:t xml:space="preserve"> </w:t>
      </w:r>
      <w:r w:rsidRPr="004826D1">
        <w:rPr>
          <w:rFonts w:cs="Times New Roman"/>
          <w:szCs w:val="24"/>
        </w:rPr>
        <w:t>gāzveida kurināmā / degvielas ieguvei un izmantošanai. Turklāt jāatzīmē, ka gāzveida kurināmā infrastruktūrai ir raksturīgs zems enerģijas zudumu apjoms. Ievērojot minēto, gāzveida kurināmā rīcībpolitika virzīta uz eksistējošās infrastruktūras saglabāšanu un pakāpenisku gāzveida kurināmā “zaļināšanu”.</w:t>
      </w:r>
    </w:p>
    <w:p w14:paraId="74F94753" w14:textId="77777777" w:rsidR="00887037" w:rsidRDefault="00887037" w:rsidP="00D70C05">
      <w:pPr>
        <w:spacing w:before="120" w:after="120"/>
        <w:jc w:val="both"/>
        <w:rPr>
          <w:rFonts w:cs="Times New Roman"/>
          <w:b/>
          <w:color w:val="155452"/>
          <w:szCs w:val="24"/>
        </w:rPr>
      </w:pPr>
    </w:p>
    <w:p w14:paraId="2CC0D786" w14:textId="77777777" w:rsidR="00887037" w:rsidRDefault="00887037" w:rsidP="00D70C05">
      <w:pPr>
        <w:spacing w:before="120" w:after="120"/>
        <w:jc w:val="both"/>
        <w:rPr>
          <w:rFonts w:cs="Times New Roman"/>
          <w:b/>
          <w:color w:val="155452"/>
          <w:szCs w:val="24"/>
        </w:rPr>
      </w:pPr>
    </w:p>
    <w:p w14:paraId="2C9245A0"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Rīcībpolitikas virzieni siltumenerģijas nozarē</w:t>
      </w:r>
      <w:bookmarkEnd w:id="29"/>
    </w:p>
    <w:p w14:paraId="0285CA4B" w14:textId="77777777" w:rsidR="00D70C05" w:rsidRDefault="00D70C05" w:rsidP="00D70C05">
      <w:pPr>
        <w:spacing w:before="120" w:after="120"/>
        <w:jc w:val="both"/>
        <w:rPr>
          <w:rFonts w:cs="Times New Roman"/>
          <w:szCs w:val="24"/>
        </w:rPr>
      </w:pPr>
      <w:r w:rsidRPr="004826D1">
        <w:rPr>
          <w:rFonts w:cs="Times New Roman"/>
          <w:szCs w:val="24"/>
        </w:rPr>
        <w:t>Siltumapgādē būtiskākie izaicinājumi saistāmi ar energoefektivitāti – gan attiecība uz ražošanas un pārvadi, gan, jo īpaši uz patēriņu. Būtiska priekšrocība Latvijā ir energoresursu daudzveidība – Latvijā siltumenerģiju ražo gan izmantojot bioloģisko kurināmo, gan dabasgāzi, gan arī saules enerģiju. Šobrīd Latvijā pāriet uz pilnīgu bezemisiju ražošanu nav tehnoloģiski un ekonomiski racionāli, taču pastāv iespējas efektīvāk izmantot pieejamos siltumavotus un jo īpaši atlikumsiltumu. Rīcībpolitikas virzieni siltumenerģijas nozarē saistīti ar sistēmas pielāgošanu zemākas temperatūras siltumavotiem, siltumenerģijas un elektroenerģijas tirgus tuvināšanu, energoefektivitāti gan ražošanas, gan pārvades, gan patēriņa kontekstā, tai skaitā, pārejot uz bezemisiju tehnoloģijām, kā arī vietējo atjaunīgo energoresursu izmantošanas kāpināšanu.</w:t>
      </w:r>
    </w:p>
    <w:p w14:paraId="61AE5771" w14:textId="77777777" w:rsidR="005172F4" w:rsidRPr="005172F4" w:rsidRDefault="005172F4" w:rsidP="005172F4">
      <w:pPr>
        <w:spacing w:before="120" w:after="120"/>
        <w:jc w:val="both"/>
        <w:rPr>
          <w:rFonts w:cs="Times New Roman"/>
          <w:szCs w:val="24"/>
        </w:rPr>
      </w:pPr>
      <w:r w:rsidRPr="005172F4">
        <w:rPr>
          <w:rFonts w:cs="Times New Roman"/>
          <w:szCs w:val="24"/>
        </w:rPr>
        <w:t xml:space="preserve">Rīcībpolitikas virzieni </w:t>
      </w:r>
      <w:r>
        <w:rPr>
          <w:rFonts w:cs="Times New Roman"/>
          <w:szCs w:val="24"/>
        </w:rPr>
        <w:t xml:space="preserve">siltumenerģijas </w:t>
      </w:r>
      <w:r w:rsidRPr="005172F4">
        <w:rPr>
          <w:rFonts w:cs="Times New Roman"/>
          <w:szCs w:val="24"/>
        </w:rPr>
        <w:t>nozarē grafiski kopsavilkti 3.</w:t>
      </w:r>
      <w:r>
        <w:rPr>
          <w:rFonts w:cs="Times New Roman"/>
          <w:szCs w:val="24"/>
        </w:rPr>
        <w:t>5</w:t>
      </w:r>
      <w:r w:rsidRPr="005172F4">
        <w:rPr>
          <w:rFonts w:cs="Times New Roman"/>
          <w:szCs w:val="24"/>
        </w:rPr>
        <w:t>. attēlā.</w:t>
      </w:r>
    </w:p>
    <w:bookmarkEnd w:id="30"/>
    <w:bookmarkEnd w:id="31"/>
    <w:bookmarkEnd w:id="32"/>
    <w:bookmarkEnd w:id="33"/>
    <w:bookmarkEnd w:id="34"/>
    <w:bookmarkEnd w:id="35"/>
    <w:p w14:paraId="785D6CBB" w14:textId="60690BE3"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AF08E79" wp14:editId="3260241F">
            <wp:extent cx="4800600" cy="2657475"/>
            <wp:effectExtent l="0" t="0" r="0" b="0"/>
            <wp:docPr id="5" name="Picture 9"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iagram of a hous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0600" cy="2657475"/>
                    </a:xfrm>
                    <a:prstGeom prst="rect">
                      <a:avLst/>
                    </a:prstGeom>
                    <a:noFill/>
                    <a:ln>
                      <a:noFill/>
                    </a:ln>
                  </pic:spPr>
                </pic:pic>
              </a:graphicData>
            </a:graphic>
          </wp:inline>
        </w:drawing>
      </w:r>
    </w:p>
    <w:p w14:paraId="33213B3E" w14:textId="77777777" w:rsidR="005172F4" w:rsidRPr="005172F4" w:rsidRDefault="005172F4" w:rsidP="005172F4">
      <w:pPr>
        <w:spacing w:before="120" w:after="120"/>
        <w:jc w:val="both"/>
        <w:rPr>
          <w:rFonts w:cs="Times New Roman"/>
          <w:b/>
          <w:color w:val="155452"/>
          <w:szCs w:val="24"/>
        </w:rPr>
      </w:pPr>
      <w:bookmarkStart w:id="36" w:name="_Toc149905878"/>
      <w:bookmarkStart w:id="37" w:name="_Toc167949243"/>
      <w:bookmarkStart w:id="38" w:name="_Toc167949395"/>
      <w:r w:rsidRPr="005172F4">
        <w:rPr>
          <w:rStyle w:val="ui-provider"/>
          <w:rFonts w:cs="Times New Roman"/>
          <w:b/>
          <w:szCs w:val="24"/>
        </w:rPr>
        <w:t xml:space="preserve">3.5. attēls. </w:t>
      </w:r>
      <w:r w:rsidRPr="005172F4">
        <w:rPr>
          <w:rFonts w:cs="Times New Roman"/>
          <w:b/>
          <w:szCs w:val="24"/>
        </w:rPr>
        <w:t>Rīcībpolitikas siltumenerģijas nozarē</w:t>
      </w:r>
      <w:r w:rsidRPr="005172F4">
        <w:rPr>
          <w:rStyle w:val="ui-provider"/>
          <w:rFonts w:cs="Times New Roman"/>
          <w:b/>
          <w:szCs w:val="24"/>
        </w:rPr>
        <w:t xml:space="preserve"> </w:t>
      </w:r>
    </w:p>
    <w:p w14:paraId="1CEA965D" w14:textId="77777777" w:rsidR="00D70C05" w:rsidRPr="004826D1" w:rsidRDefault="00BA1A52" w:rsidP="00D70C05">
      <w:pPr>
        <w:pStyle w:val="Heading2"/>
        <w:spacing w:before="120" w:after="120"/>
        <w:rPr>
          <w:rFonts w:ascii="Times New Roman" w:hAnsi="Times New Roman"/>
          <w:sz w:val="24"/>
          <w:szCs w:val="24"/>
          <w:lang w:val="lv-LV"/>
        </w:rPr>
      </w:pPr>
      <w:r>
        <w:rPr>
          <w:rFonts w:ascii="Times New Roman" w:hAnsi="Times New Roman"/>
          <w:sz w:val="24"/>
          <w:szCs w:val="24"/>
          <w:lang w:val="lv-LV"/>
        </w:rPr>
        <w:br w:type="page"/>
      </w:r>
      <w:bookmarkStart w:id="39" w:name="_Toc169602232"/>
      <w:r w:rsidR="00D70C05" w:rsidRPr="004826D1">
        <w:rPr>
          <w:rFonts w:ascii="Times New Roman" w:hAnsi="Times New Roman"/>
          <w:sz w:val="24"/>
          <w:szCs w:val="24"/>
          <w:lang w:val="lv-LV"/>
        </w:rPr>
        <w:lastRenderedPageBreak/>
        <w:t>1.5. Klimata rīcībpolitikas ceļakarte</w:t>
      </w:r>
      <w:bookmarkEnd w:id="36"/>
      <w:bookmarkEnd w:id="37"/>
      <w:bookmarkEnd w:id="38"/>
      <w:bookmarkEnd w:id="39"/>
    </w:p>
    <w:p w14:paraId="6E972348" w14:textId="77777777" w:rsidR="00D70C05" w:rsidRPr="004826D1" w:rsidRDefault="00D70C05" w:rsidP="00D70C05">
      <w:pPr>
        <w:spacing w:before="120" w:after="120"/>
        <w:jc w:val="center"/>
        <w:rPr>
          <w:rFonts w:cs="Times New Roman"/>
          <w:szCs w:val="24"/>
        </w:rPr>
      </w:pPr>
    </w:p>
    <w:p w14:paraId="37317585"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Mērķis</w:t>
      </w:r>
      <w:r w:rsidRPr="004826D1">
        <w:rPr>
          <w:rFonts w:cs="Times New Roman"/>
          <w:color w:val="155452"/>
          <w:szCs w:val="24"/>
        </w:rPr>
        <w:t>:</w:t>
      </w:r>
    </w:p>
    <w:p w14:paraId="7F764C99" w14:textId="77777777" w:rsidR="00D70C05" w:rsidRPr="004826D1" w:rsidRDefault="00D70C05" w:rsidP="00D70C05">
      <w:pPr>
        <w:pStyle w:val="ListParagraph1"/>
        <w:spacing w:before="120" w:after="120"/>
        <w:ind w:left="426"/>
        <w:jc w:val="both"/>
        <w:rPr>
          <w:rFonts w:cs="Times New Roman"/>
          <w:sz w:val="24"/>
          <w:szCs w:val="24"/>
        </w:rPr>
      </w:pPr>
      <w:r w:rsidRPr="004826D1">
        <w:rPr>
          <w:rFonts w:cs="Times New Roman"/>
          <w:sz w:val="24"/>
          <w:szCs w:val="24"/>
        </w:rPr>
        <w:t>Sekmēt klimata pārmaiņu ierobežošanu un klimatnoturību, lai ne vēlāk kā līdz 2050.g. sasniegtu klimatneitralitāti, nodrošinot nacionālo klimata mērķu sasniegšanu saskaņā ar ES un starptautiskajām saistībām un regulējumu, ņemot vērā vides, sociālo, ekonomikas un pārvaldības ilgtspēju.</w:t>
      </w:r>
    </w:p>
    <w:p w14:paraId="78658F40" w14:textId="77777777" w:rsidR="00D70C05" w:rsidRPr="004826D1" w:rsidRDefault="00D70C05" w:rsidP="00D70C05">
      <w:pPr>
        <w:spacing w:before="120" w:after="120"/>
        <w:jc w:val="both"/>
        <w:rPr>
          <w:rFonts w:cs="Times New Roman"/>
          <w:b/>
          <w:color w:val="155452"/>
          <w:szCs w:val="24"/>
        </w:rPr>
      </w:pPr>
    </w:p>
    <w:p w14:paraId="6B358C40"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Priekšrocības</w:t>
      </w:r>
    </w:p>
    <w:p w14:paraId="005252CA" w14:textId="6FF9B9B8"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Lai sasniegtu klimatneitralitātes mērķus un nodrošinātu ekonomikas izaugsmi, nepieciešams transformēt Latvijas tautsaimniecību. Transformācijas pamatā ir tālāk nodaļā minēto rīcībpolitikas instrumentu pielietošana, kā arī esošo priekšrocību izmantošana.</w:t>
      </w:r>
      <w:r w:rsidR="00857535">
        <w:rPr>
          <w:rStyle w:val="ui-provider"/>
          <w:rFonts w:cs="Times New Roman"/>
          <w:szCs w:val="24"/>
        </w:rPr>
        <w:t xml:space="preserve"> </w:t>
      </w:r>
      <w:r w:rsidRPr="004826D1">
        <w:rPr>
          <w:rStyle w:val="ui-provider"/>
          <w:rFonts w:cs="Times New Roman"/>
          <w:szCs w:val="24"/>
        </w:rPr>
        <w:t>Latvijā kā nozīmīgas priekšrocības var tik uzskatīti:</w:t>
      </w:r>
    </w:p>
    <w:p w14:paraId="713EB345" w14:textId="77777777" w:rsidR="00D70C05" w:rsidRPr="004826D1" w:rsidRDefault="00D70C05" w:rsidP="00D70C05">
      <w:pPr>
        <w:spacing w:before="120" w:after="120"/>
        <w:jc w:val="both"/>
        <w:rPr>
          <w:rStyle w:val="ui-provider"/>
          <w:rFonts w:cs="Times New Roman"/>
          <w:i/>
          <w:iCs/>
          <w:color w:val="006666"/>
          <w:szCs w:val="24"/>
        </w:rPr>
      </w:pPr>
      <w:r w:rsidRPr="004826D1">
        <w:rPr>
          <w:rStyle w:val="ui-provider"/>
          <w:rFonts w:cs="Times New Roman"/>
          <w:i/>
          <w:iCs/>
          <w:color w:val="006666"/>
          <w:szCs w:val="24"/>
        </w:rPr>
        <w:t xml:space="preserve"> Fiziskās ģeogrāfijas apstākļi:</w:t>
      </w:r>
    </w:p>
    <w:p w14:paraId="0D705E80" w14:textId="77777777" w:rsidR="00D70C05" w:rsidRPr="004826D1" w:rsidRDefault="00D70C05" w:rsidP="00B71063">
      <w:pPr>
        <w:pStyle w:val="ListParagraph1"/>
        <w:numPr>
          <w:ilvl w:val="1"/>
          <w:numId w:val="29"/>
        </w:numPr>
        <w:spacing w:before="120" w:after="120"/>
        <w:ind w:left="360"/>
        <w:jc w:val="both"/>
        <w:rPr>
          <w:rFonts w:cs="Times New Roman"/>
          <w:sz w:val="24"/>
          <w:szCs w:val="24"/>
        </w:rPr>
      </w:pPr>
      <w:r w:rsidRPr="004826D1">
        <w:rPr>
          <w:rFonts w:cs="Times New Roman"/>
          <w:sz w:val="24"/>
          <w:szCs w:val="24"/>
        </w:rPr>
        <w:t>Latvijas klimatu nosaka valsts atrašanās mērenajā klimata joslā. Latvijai raksturīga bieža gaisa masu maiņa, gada laikā vidēji 170 atmosfēras frontes, kas var kalpot vēja enerģijas izmantošanas attīstīšanai. Saules radiācijas izmantošanai enerģijas ražošanā ir sezonāls raksturs. Kopumā Latvijā gadā Saule spīd vidēji 1700-2000 stundas, visvairāk jūlijā – aptuveni 300 stundas, savukārt vismazāk decembrī, kad kopējais Saules spīdēšanas ilgums ir aptuveni 25 stundas, jeb mazāk nekā stundu dienā</w:t>
      </w:r>
      <w:r w:rsidRPr="004826D1">
        <w:rPr>
          <w:rStyle w:val="FootnoteReference"/>
          <w:rFonts w:eastAsia="Calibri"/>
          <w:sz w:val="24"/>
          <w:szCs w:val="24"/>
        </w:rPr>
        <w:footnoteReference w:id="32"/>
      </w:r>
      <w:r w:rsidRPr="004826D1">
        <w:rPr>
          <w:rFonts w:cs="Times New Roman"/>
          <w:sz w:val="24"/>
          <w:szCs w:val="24"/>
        </w:rPr>
        <w:t xml:space="preserve">. </w:t>
      </w:r>
    </w:p>
    <w:p w14:paraId="2AE5FCBD" w14:textId="77777777" w:rsidR="00D70C05" w:rsidRPr="004826D1" w:rsidRDefault="00D70C05" w:rsidP="00B71063">
      <w:pPr>
        <w:pStyle w:val="ListParagraph1"/>
        <w:numPr>
          <w:ilvl w:val="1"/>
          <w:numId w:val="29"/>
        </w:numPr>
        <w:spacing w:before="120" w:after="120"/>
        <w:ind w:left="360"/>
        <w:jc w:val="both"/>
        <w:rPr>
          <w:rFonts w:cs="Times New Roman"/>
          <w:sz w:val="24"/>
          <w:szCs w:val="24"/>
        </w:rPr>
      </w:pPr>
      <w:r w:rsidRPr="004826D1">
        <w:rPr>
          <w:rFonts w:eastAsia="Cambria" w:cs="Times New Roman"/>
          <w:sz w:val="24"/>
          <w:szCs w:val="24"/>
        </w:rPr>
        <w:t>Latvijas salīdzinoši nelielā teritoriālā platība, kur lielu daļu no tās aizņem lauksaimniecībā izmantojamās zemes</w:t>
      </w:r>
      <w:r w:rsidRPr="004826D1">
        <w:rPr>
          <w:rStyle w:val="FootnoteReference"/>
          <w:rFonts w:eastAsia="Cambria"/>
          <w:sz w:val="24"/>
          <w:szCs w:val="24"/>
        </w:rPr>
        <w:footnoteReference w:id="33"/>
      </w:r>
      <w:r w:rsidRPr="004826D1">
        <w:rPr>
          <w:rFonts w:eastAsia="Cambria" w:cs="Times New Roman"/>
          <w:sz w:val="24"/>
          <w:szCs w:val="24"/>
        </w:rPr>
        <w:t xml:space="preserve"> – 35,1% (2022.g.) un meža zemju (mežs, purvs, krūmājs) – 53,5% (2022.g.) platības.</w:t>
      </w:r>
    </w:p>
    <w:p w14:paraId="541DA6E4" w14:textId="77777777" w:rsidR="00D70C05" w:rsidRPr="004826D1" w:rsidRDefault="00D70C05" w:rsidP="00B71063">
      <w:pPr>
        <w:pStyle w:val="ListParagraph1"/>
        <w:numPr>
          <w:ilvl w:val="1"/>
          <w:numId w:val="29"/>
        </w:numPr>
        <w:spacing w:before="120" w:after="120"/>
        <w:ind w:left="360"/>
        <w:jc w:val="both"/>
        <w:rPr>
          <w:rFonts w:cs="Times New Roman"/>
          <w:sz w:val="24"/>
          <w:szCs w:val="24"/>
        </w:rPr>
      </w:pPr>
      <w:r w:rsidRPr="004826D1">
        <w:rPr>
          <w:rStyle w:val="ui-provider"/>
          <w:rFonts w:cs="Times New Roman"/>
          <w:sz w:val="24"/>
          <w:szCs w:val="24"/>
        </w:rPr>
        <w:t xml:space="preserve">Vairāk nekā pusi Latvijas teritorijas veido meža zeme. Mērķtiecīgi un ilgtspējīgi veidojot mežaudžu struktūru un to noturību ir iespējams palielināt </w:t>
      </w:r>
      <w:r w:rsidRPr="004826D1">
        <w:rPr>
          <w:rFonts w:cs="Times New Roman"/>
          <w:sz w:val="24"/>
          <w:szCs w:val="24"/>
        </w:rPr>
        <w:t>CO</w:t>
      </w:r>
      <w:r w:rsidRPr="004826D1">
        <w:rPr>
          <w:rFonts w:cs="Times New Roman"/>
          <w:sz w:val="24"/>
          <w:szCs w:val="24"/>
          <w:vertAlign w:val="subscript"/>
        </w:rPr>
        <w:t>2</w:t>
      </w:r>
      <w:r w:rsidRPr="004826D1">
        <w:rPr>
          <w:rFonts w:cs="Times New Roman"/>
          <w:sz w:val="24"/>
          <w:szCs w:val="24"/>
        </w:rPr>
        <w:t xml:space="preserve"> piesaistes ZIZIMM sektorā, veicināt koksnes izmantošanu būvniecībā, </w:t>
      </w:r>
      <w:r w:rsidRPr="004826D1">
        <w:rPr>
          <w:rFonts w:eastAsia="Cambria" w:cs="Times New Roman"/>
          <w:sz w:val="24"/>
          <w:szCs w:val="24"/>
        </w:rPr>
        <w:t>un inovatīvu koksnes produktu ražošanā,</w:t>
      </w:r>
      <w:r w:rsidRPr="004826D1">
        <w:rPr>
          <w:rFonts w:cs="Times New Roman"/>
          <w:sz w:val="24"/>
          <w:szCs w:val="24"/>
        </w:rPr>
        <w:t xml:space="preserve"> kā arī biomasas, </w:t>
      </w:r>
      <w:r w:rsidRPr="004826D1">
        <w:rPr>
          <w:rFonts w:eastAsia="Cambria" w:cs="Times New Roman"/>
          <w:sz w:val="24"/>
          <w:szCs w:val="24"/>
        </w:rPr>
        <w:t>tajā skaitā reciklētās koksnes</w:t>
      </w:r>
      <w:r w:rsidRPr="004826D1">
        <w:rPr>
          <w:rFonts w:cs="Times New Roman"/>
          <w:sz w:val="24"/>
          <w:szCs w:val="24"/>
        </w:rPr>
        <w:t xml:space="preserve"> izmantošanu enerģētikā. </w:t>
      </w:r>
    </w:p>
    <w:p w14:paraId="10985691" w14:textId="77777777" w:rsidR="00D70C05" w:rsidRPr="004826D1" w:rsidRDefault="00D70C05" w:rsidP="00D70C05">
      <w:pPr>
        <w:spacing w:before="120" w:after="120"/>
        <w:jc w:val="both"/>
        <w:rPr>
          <w:rStyle w:val="ui-provider"/>
          <w:rFonts w:cs="Times New Roman"/>
          <w:i/>
          <w:color w:val="006666"/>
          <w:szCs w:val="24"/>
        </w:rPr>
      </w:pPr>
      <w:r w:rsidRPr="004826D1">
        <w:rPr>
          <w:rStyle w:val="ui-provider"/>
          <w:rFonts w:cs="Times New Roman"/>
          <w:i/>
          <w:color w:val="006666"/>
          <w:szCs w:val="24"/>
        </w:rPr>
        <w:t>Liels elektrifikācijas potenciāls</w:t>
      </w:r>
    </w:p>
    <w:p w14:paraId="3F3DB512"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Saskaņā ar enerģētikas ekspertu novērtējumu Latvijā ir liels potenciāls rūpniecības un transporta, tai skaitā dzelzceļa,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ja vienlaicīgi tiktu mazināts primāro energoresursu – kurināmais un degvielas patēriņš, un tiktu uzlabota tautsaimniecības kopējā energoefektivitāte, kopējais valsts enerģijas patēriņš mazināsies. Vienlaikus transporta sektora vispusīgai elektrifikācijai ir nepieciešamas investīcijas lieljaudas uzlādes punktu aktīvai izveidei un dzelzceļa elektrifikācijai.</w:t>
      </w:r>
    </w:p>
    <w:p w14:paraId="3D583673" w14:textId="77777777" w:rsidR="00D70C05" w:rsidRPr="004826D1" w:rsidRDefault="00D70C05" w:rsidP="00D70C05">
      <w:pPr>
        <w:spacing w:before="120" w:after="120"/>
        <w:jc w:val="both"/>
        <w:rPr>
          <w:rStyle w:val="ui-provider"/>
          <w:rFonts w:cs="Times New Roman"/>
          <w:i/>
          <w:color w:val="006666"/>
          <w:szCs w:val="24"/>
        </w:rPr>
      </w:pPr>
      <w:r w:rsidRPr="004826D1">
        <w:rPr>
          <w:rStyle w:val="ui-provider"/>
          <w:rFonts w:cs="Times New Roman"/>
          <w:i/>
          <w:color w:val="006666"/>
          <w:szCs w:val="24"/>
        </w:rPr>
        <w:t>Publiskais un privātais finansējums</w:t>
      </w:r>
    </w:p>
    <w:p w14:paraId="7C2DBB7B" w14:textId="77777777" w:rsidR="00D70C05" w:rsidRPr="004826D1" w:rsidRDefault="00D70C05" w:rsidP="00D70C05">
      <w:pPr>
        <w:spacing w:before="120" w:after="120"/>
        <w:jc w:val="both"/>
        <w:rPr>
          <w:rFonts w:cs="Times New Roman"/>
          <w:szCs w:val="24"/>
        </w:rPr>
      </w:pPr>
      <w:r w:rsidRPr="004826D1">
        <w:rPr>
          <w:rFonts w:cs="Times New Roman"/>
          <w:szCs w:val="24"/>
        </w:rPr>
        <w:t xml:space="preserve">Finansējuma nepieciešamība ciešā mērā ir saistīta ar Latvijai noteikto klimata mērķu sasniegšanu, t.sk. sektoros – enerģētika, transports un lauksaimniecība –, kuri rada vislielāko SEG emisiju apjomu. Sevišķi būtiska finansējuma pieejamība pasākumiem, kas vērsti uz SEG emisiju samazināšanu ne-ETS darbībās, it īpaši mājsaimniecību sektorā. Paralēli jānodrošina finansējuma pieejamība arī klimatnoturīguma nodrošināšanai. Taču visbūtiskāk, izvairīties no </w:t>
      </w:r>
      <w:r w:rsidRPr="004826D1">
        <w:rPr>
          <w:rFonts w:cs="Times New Roman"/>
          <w:szCs w:val="24"/>
        </w:rPr>
        <w:lastRenderedPageBreak/>
        <w:t xml:space="preserve">pasākumu finansēšanas, kas ir pretrunā ar SEG emisiju samazināšanu, oglekļa dioksīda piesaisti un klimatnoturīguma nodrošināšanu. </w:t>
      </w:r>
    </w:p>
    <w:p w14:paraId="017E587F"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06.12.2021. Valsts kase Latvijas Republikas vārdā pirmo reizi emitēja valsts ilgtspējīgās eiroobligācijas ar dzēšanas termiņu astoņi gadi, piesaistot finansējumu 600 milj.</w:t>
      </w:r>
      <w:r w:rsidRPr="004826D1">
        <w:rPr>
          <w:rFonts w:eastAsia="SimSun" w:cs="Times New Roman"/>
          <w:color w:val="000000"/>
          <w:szCs w:val="24"/>
        </w:rPr>
        <w:t xml:space="preserve"> € </w:t>
      </w:r>
      <w:r w:rsidRPr="004826D1">
        <w:rPr>
          <w:rStyle w:val="ui-provider"/>
          <w:rFonts w:cs="Times New Roman"/>
          <w:szCs w:val="24"/>
        </w:rPr>
        <w:t xml:space="preserve">apmērā. Obligācijas emitētas Latvijas ilgtspējīgas attīstības atbalstam un finansējuma piesaistei pasākumiem un prioritātēm, kuras vērstas uz klimata pārmaiņu negatīvās ietekmes mazināšanu, virzību uz klimatneitralitāti un labklājības celšanu. </w:t>
      </w:r>
      <w:r w:rsidRPr="004826D1">
        <w:rPr>
          <w:rFonts w:cs="Times New Roman"/>
          <w:szCs w:val="24"/>
        </w:rPr>
        <w:t>Šobrīd sagatavošanā ir Rīgas valstspilsētas pašvaldības obligāciju izlaišanas noteikumi, kas ietver pašvaldības zaļo obligāciju ietvaru, kas nodrošinās papildus resursus ilgtspējīgas infrastruktūras izveidē.</w:t>
      </w:r>
    </w:p>
    <w:p w14:paraId="6715A885" w14:textId="77777777" w:rsidR="00D70C05" w:rsidRPr="004826D1" w:rsidRDefault="00D70C05" w:rsidP="00D70C05">
      <w:pPr>
        <w:spacing w:before="120" w:after="120"/>
        <w:jc w:val="both"/>
        <w:rPr>
          <w:rFonts w:cs="Times New Roman"/>
          <w:szCs w:val="24"/>
        </w:rPr>
      </w:pPr>
      <w:r w:rsidRPr="004826D1">
        <w:rPr>
          <w:rFonts w:cs="Times New Roman"/>
          <w:szCs w:val="24"/>
        </w:rPr>
        <w:t>Nepieciešams attīstīt zaļā publiskā iepirkuma, tajā iekļaujot arī energoefektivitātes nosacījumus, kā horizontāla pasākuma īstenošanu visās nozarēs un palielināt tā īpatsvaru kopējā publiskā iepirkuma apjomā.</w:t>
      </w:r>
    </w:p>
    <w:p w14:paraId="44EEF2D9" w14:textId="77777777" w:rsidR="00D70C05" w:rsidRPr="004826D1" w:rsidRDefault="00D70C05" w:rsidP="00D70C05">
      <w:pPr>
        <w:spacing w:before="120" w:after="120"/>
        <w:jc w:val="both"/>
        <w:rPr>
          <w:rFonts w:cs="Times New Roman"/>
          <w:color w:val="000000"/>
          <w:szCs w:val="24"/>
        </w:rPr>
      </w:pPr>
      <w:r w:rsidRPr="004826D1">
        <w:rPr>
          <w:rFonts w:cs="Times New Roman"/>
          <w:szCs w:val="24"/>
        </w:rPr>
        <w:t xml:space="preserve">Publiskā finansējuma apjoms, lai arī ievērojams, tomēr nebūs pietiekams visu mērķu sasniegšanai. Tāpēc līdztekus publiskajam finansējumam, nepieciešams piesaistīt arī privātās investīcijas. </w:t>
      </w:r>
      <w:r w:rsidRPr="004826D1">
        <w:rPr>
          <w:rFonts w:cs="Times New Roman"/>
          <w:color w:val="000000"/>
          <w:szCs w:val="24"/>
        </w:rPr>
        <w:t>Finanšu instrumenti ir efektīvs līdzeklis, lai maksimāli piesaistītu un aktivizētu pēc iespējas vairāk privāto kapitālu. Projektu finansēšanā, it īpaši atbalsta sniegšanā komersantiem, būtu prioritāri jāvirzās uz aizdevuma orientētiem (</w:t>
      </w:r>
      <w:r w:rsidRPr="004826D1">
        <w:rPr>
          <w:rFonts w:cs="Times New Roman"/>
          <w:i/>
          <w:iCs/>
          <w:color w:val="000000"/>
          <w:szCs w:val="24"/>
        </w:rPr>
        <w:t>debt-based</w:t>
      </w:r>
      <w:r w:rsidRPr="004826D1">
        <w:rPr>
          <w:rFonts w:cs="Times New Roman"/>
          <w:color w:val="000000"/>
          <w:szCs w:val="24"/>
        </w:rPr>
        <w:t>) instrumentiem, garantijām, riska kapitāla ieguldījumiem vai jaukto finansējumu (</w:t>
      </w:r>
      <w:r w:rsidRPr="004826D1">
        <w:rPr>
          <w:rFonts w:cs="Times New Roman"/>
          <w:i/>
          <w:iCs/>
          <w:color w:val="000000"/>
          <w:szCs w:val="24"/>
        </w:rPr>
        <w:t>blended finance)</w:t>
      </w:r>
      <w:r w:rsidRPr="004826D1">
        <w:rPr>
          <w:rFonts w:cs="Times New Roman"/>
          <w:color w:val="000000"/>
          <w:szCs w:val="24"/>
        </w:rPr>
        <w:t xml:space="preserve">, tādā veidā nodrošinot papildu finansējuma mobilizāciju no privātā sektora ilgtspējīgai attīstībai, t.sk klimata pārmaiņu mazināšanas un pielāgošanās klimata pārmaiņām pasākumiem. </w:t>
      </w:r>
    </w:p>
    <w:p w14:paraId="1DE74FCB" w14:textId="77777777" w:rsidR="00D70C05" w:rsidRPr="004826D1" w:rsidRDefault="00D70C05" w:rsidP="00D70C05">
      <w:pPr>
        <w:spacing w:before="120" w:after="120"/>
        <w:jc w:val="both"/>
        <w:rPr>
          <w:rFonts w:cs="Times New Roman"/>
          <w:color w:val="000000"/>
          <w:szCs w:val="24"/>
        </w:rPr>
      </w:pPr>
      <w:r w:rsidRPr="004826D1">
        <w:rPr>
          <w:rFonts w:cs="Times New Roman"/>
          <w:color w:val="000000"/>
          <w:szCs w:val="24"/>
        </w:rPr>
        <w:t>Pasaulē arvien straujāk pieaug interese par ilgtspējīgiem finanšu instrumentiem un arvien pieaug zaļo, sociālo un ilgtspējīgo obligāciju emisijas. Latvijā līdz šim tikai daži uzņēmumi (AS “Latvenergo”, AS “Attīstības finanšu institūcija Altum” un AS “Augstsprieguma tīkls”) ir emitējuši zaļās obligācijas saskaņā ar starptautiskajiem zaļo obligāciju standartiem, tomēr kopējie apjomi jau šobrīd ir nozīmīgi – 220 milj.</w:t>
      </w:r>
      <w:r w:rsidRPr="004826D1">
        <w:rPr>
          <w:rFonts w:eastAsia="SimSun" w:cs="Times New Roman"/>
          <w:color w:val="000000"/>
          <w:szCs w:val="24"/>
        </w:rPr>
        <w:t xml:space="preserve"> €</w:t>
      </w:r>
      <w:r w:rsidRPr="004826D1">
        <w:rPr>
          <w:rFonts w:cs="Times New Roman"/>
          <w:color w:val="000000"/>
          <w:szCs w:val="24"/>
        </w:rPr>
        <w:t xml:space="preserve"> apmērā. Latvijas finanšu sektora dalībniekiem (kredītiestādēm un citiem finanšu pakalpojumu sniedzējiem) ir būtiski NEKP ietvaros noteikt privātā finansējuma piesaistes mērķus un finansējuma ieguldīšanas iespējas, lai varētu attīstīt finanšu instrumentus. Lai pamatotu ilgtspējīgo finanšu instrumentu attiecināmību ES regulējuma izpratnē, nepieciešams nodrošināt energoefektivitātes datu pieejamību finanšu tirgus dalībniekiem. </w:t>
      </w:r>
    </w:p>
    <w:p w14:paraId="4DECD3DF" w14:textId="77777777" w:rsidR="00D70C05" w:rsidRPr="004826D1" w:rsidRDefault="00D70C05" w:rsidP="00D70C05">
      <w:pPr>
        <w:spacing w:before="120" w:after="120"/>
        <w:jc w:val="both"/>
        <w:rPr>
          <w:rFonts w:cs="Times New Roman"/>
          <w:color w:val="000000"/>
          <w:szCs w:val="24"/>
        </w:rPr>
      </w:pPr>
      <w:r w:rsidRPr="004826D1">
        <w:rPr>
          <w:rFonts w:cs="Times New Roman"/>
          <w:color w:val="000000"/>
          <w:szCs w:val="24"/>
        </w:rPr>
        <w:t>Uzņēmumu sektora ilgtspējas mērķu sasniegšanas ieguldījumu, sākot ar 2024. pārskata g., būs jāiekļauj gada pārskata vadības ziņojumā, pamatojoties uz Direktīvu 2022/2464</w:t>
      </w:r>
      <w:r w:rsidRPr="004826D1">
        <w:rPr>
          <w:rStyle w:val="FootnoteReference"/>
          <w:rFonts w:eastAsia="Calibri"/>
          <w:color w:val="000000"/>
          <w:szCs w:val="24"/>
        </w:rPr>
        <w:footnoteReference w:id="34"/>
      </w:r>
      <w:r w:rsidRPr="004826D1">
        <w:rPr>
          <w:rFonts w:cs="Times New Roman"/>
          <w:color w:val="000000"/>
          <w:szCs w:val="24"/>
        </w:rPr>
        <w:t>.</w:t>
      </w:r>
    </w:p>
    <w:p w14:paraId="1188E389"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Klimata politikas instrumentu ietvaros pieejami šādi finansējuma avoti:</w:t>
      </w:r>
    </w:p>
    <w:p w14:paraId="4B8DCA39"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Valsts budžets </w:t>
      </w:r>
      <w:r w:rsidRPr="004826D1">
        <w:rPr>
          <w:rFonts w:cs="Times New Roman"/>
          <w:sz w:val="24"/>
          <w:szCs w:val="24"/>
        </w:rPr>
        <w:t>– piemēram, EKII, MF, Valsts kases aizdevumi;</w:t>
      </w:r>
    </w:p>
    <w:p w14:paraId="1993C32D" w14:textId="77777777" w:rsidR="00D70C05" w:rsidRPr="004826D1" w:rsidRDefault="00D70C05" w:rsidP="00B71063">
      <w:pPr>
        <w:pStyle w:val="ListParagraph1"/>
        <w:numPr>
          <w:ilvl w:val="0"/>
          <w:numId w:val="31"/>
        </w:numPr>
        <w:spacing w:before="120" w:after="120"/>
        <w:ind w:left="357" w:hanging="357"/>
        <w:jc w:val="both"/>
        <w:rPr>
          <w:rFonts w:cs="Times New Roman"/>
          <w:b/>
          <w:bCs/>
          <w:sz w:val="24"/>
          <w:szCs w:val="24"/>
        </w:rPr>
      </w:pPr>
      <w:r w:rsidRPr="004826D1">
        <w:rPr>
          <w:rFonts w:cs="Times New Roman"/>
          <w:b/>
          <w:bCs/>
          <w:sz w:val="24"/>
          <w:szCs w:val="24"/>
        </w:rPr>
        <w:t>Pašvaldību budžets;</w:t>
      </w:r>
    </w:p>
    <w:p w14:paraId="54B3605A"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ES </w:t>
      </w:r>
      <w:r w:rsidRPr="004826D1">
        <w:rPr>
          <w:rFonts w:cs="Times New Roman"/>
          <w:sz w:val="24"/>
          <w:szCs w:val="24"/>
        </w:rPr>
        <w:t>– piemēram, ES fondu 2021-2027.g. plānošanas periods (t.sk. JTF), ANM;</w:t>
      </w:r>
    </w:p>
    <w:p w14:paraId="00842FB8"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EK finanšu instrumenti (programmas) </w:t>
      </w:r>
      <w:r w:rsidRPr="004826D1">
        <w:rPr>
          <w:rFonts w:cs="Times New Roman"/>
          <w:sz w:val="24"/>
          <w:szCs w:val="24"/>
        </w:rPr>
        <w:t>– piemēram, SKF, LIFE, IF, Apvārsnis Eiropa;</w:t>
      </w:r>
    </w:p>
    <w:p w14:paraId="6A276335"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bCs/>
          <w:sz w:val="24"/>
          <w:szCs w:val="24"/>
        </w:rPr>
        <w:t xml:space="preserve">Starptautisko finanšu institūciju finansējums - </w:t>
      </w:r>
      <w:r w:rsidRPr="004826D1">
        <w:rPr>
          <w:rFonts w:cs="Times New Roman"/>
          <w:sz w:val="24"/>
          <w:szCs w:val="24"/>
        </w:rPr>
        <w:t>tai skaitā, no Eiropas Investīciju bankas, Eiropas Rekonstrukcijas un attīstības bankas un Ziemeļu Investīciju bankas;</w:t>
      </w:r>
    </w:p>
    <w:p w14:paraId="0415DF65"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Cits finansējums </w:t>
      </w:r>
      <w:r w:rsidRPr="004826D1">
        <w:rPr>
          <w:rFonts w:cs="Times New Roman"/>
          <w:sz w:val="24"/>
          <w:szCs w:val="24"/>
        </w:rPr>
        <w:t>– piemēram, NFI, Latvijas - Šveices sadarbības programma;</w:t>
      </w:r>
    </w:p>
    <w:p w14:paraId="5627DD4A"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bCs/>
          <w:sz w:val="24"/>
          <w:szCs w:val="24"/>
        </w:rPr>
        <w:t xml:space="preserve">Papildus finansējums </w:t>
      </w:r>
      <w:r w:rsidRPr="004826D1">
        <w:rPr>
          <w:rFonts w:cs="Times New Roman"/>
          <w:sz w:val="24"/>
          <w:szCs w:val="24"/>
        </w:rPr>
        <w:t>– piemēram, ilgtspējīga kreditēšana un citi ilgtspējīgi finanšu instrumenti, zaļās un ilgtspējīgās obligācijas; bilateriālie darījumi</w:t>
      </w:r>
      <w:r w:rsidRPr="004826D1">
        <w:rPr>
          <w:rStyle w:val="FootnoteReference"/>
          <w:sz w:val="24"/>
          <w:szCs w:val="24"/>
        </w:rPr>
        <w:footnoteReference w:id="35"/>
      </w:r>
      <w:r w:rsidRPr="004826D1">
        <w:rPr>
          <w:rFonts w:cs="Times New Roman"/>
          <w:sz w:val="24"/>
          <w:szCs w:val="24"/>
        </w:rPr>
        <w:t>.</w:t>
      </w:r>
    </w:p>
    <w:p w14:paraId="5261312E"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lastRenderedPageBreak/>
        <w:t>Izaicinājumi</w:t>
      </w:r>
    </w:p>
    <w:p w14:paraId="75A88E9E"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t xml:space="preserve">Lai gan Latvijai ir vairākas priekšrocības, tāpat tā saskaras ar vairākiem izaicinājumiem ceļā uz klimatneitralitāti un klimatnoturību. </w:t>
      </w:r>
    </w:p>
    <w:p w14:paraId="5E744C97"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2EAB2D2D" w14:textId="4F9C1125" w:rsidR="00D70C05" w:rsidRPr="004826D1" w:rsidRDefault="00D70C05" w:rsidP="00D70C05">
      <w:pPr>
        <w:spacing w:before="120" w:after="120"/>
        <w:jc w:val="both"/>
        <w:rPr>
          <w:rFonts w:eastAsia="Cambria" w:cs="Times New Roman"/>
          <w:szCs w:val="24"/>
        </w:rPr>
      </w:pPr>
      <w:r w:rsidRPr="004826D1">
        <w:rPr>
          <w:rFonts w:eastAsia="Cambria" w:cs="Times New Roman"/>
          <w:szCs w:val="24"/>
        </w:rPr>
        <w:t>Lielākais ne-ETS SEG emisiju apjoms rodas šādos sektoros: transports (37% no ne-ETS SEG emisiju apjoma), lauksaimniecība</w:t>
      </w:r>
      <w:r w:rsidR="00857535">
        <w:rPr>
          <w:rFonts w:eastAsia="Cambria" w:cs="Times New Roman"/>
          <w:szCs w:val="24"/>
        </w:rPr>
        <w:t xml:space="preserve"> </w:t>
      </w:r>
      <w:r w:rsidRPr="004826D1">
        <w:rPr>
          <w:rFonts w:eastAsia="Cambria" w:cs="Times New Roman"/>
          <w:szCs w:val="24"/>
        </w:rPr>
        <w:t>(27% no ne-ETS SEG emisiju apjoma),</w:t>
      </w:r>
      <w:r w:rsidR="00857535">
        <w:rPr>
          <w:rFonts w:eastAsia="Cambria" w:cs="Times New Roman"/>
          <w:szCs w:val="24"/>
        </w:rPr>
        <w:t xml:space="preserve"> </w:t>
      </w:r>
      <w:r w:rsidRPr="004826D1">
        <w:rPr>
          <w:rFonts w:eastAsia="Cambria" w:cs="Times New Roman"/>
          <w:szCs w:val="24"/>
        </w:rPr>
        <w:t>ne-ETS enerģētika (26% no ne-ETS SEG emisiju apjoma), atkritumu apsaimniekošana (7% no ne-ETS SEG emisiju apjoma) un neliela daļa tikai rūpnieciskos procesos un produktu izmantošanā (3%). ZIZIMM sektors ir nozīmīgs ne tikai kā SEG emisiju radītājs, bet arī CO</w:t>
      </w:r>
      <w:r w:rsidRPr="004826D1">
        <w:rPr>
          <w:rFonts w:eastAsia="Cambria" w:cs="Times New Roman"/>
          <w:szCs w:val="24"/>
          <w:vertAlign w:val="subscript"/>
        </w:rPr>
        <w:t>2</w:t>
      </w:r>
      <w:r w:rsidRPr="004826D1">
        <w:rPr>
          <w:rFonts w:eastAsia="Cambria" w:cs="Times New Roman"/>
          <w:szCs w:val="24"/>
        </w:rPr>
        <w:t xml:space="preserve"> piesaistes veicinātājs. ZIZIMM sektoram ir būtiska loma 2050. g. klimatneitralitātes nodrošināšanā, jo šajā sektorā, veicot papildus pasākumus meža noturības un produktivitātes palielināšanai un samazinot SEG emisijas no nemeža zemēm, ir iespējams veicināt CO</w:t>
      </w:r>
      <w:r w:rsidRPr="004826D1">
        <w:rPr>
          <w:rFonts w:eastAsia="Cambria" w:cs="Times New Roman"/>
          <w:szCs w:val="24"/>
          <w:vertAlign w:val="subscript"/>
        </w:rPr>
        <w:t>2</w:t>
      </w:r>
      <w:r w:rsidRPr="004826D1">
        <w:rPr>
          <w:rFonts w:eastAsia="Cambria" w:cs="Times New Roman"/>
          <w:szCs w:val="24"/>
        </w:rPr>
        <w:t xml:space="preserve"> piesaisti nesamazināmo SEG emisiju kompensēšanai. </w:t>
      </w:r>
    </w:p>
    <w:p w14:paraId="77F0D589" w14:textId="3AD48A16" w:rsidR="00D70C05" w:rsidRPr="004826D1" w:rsidRDefault="00D70C05" w:rsidP="00D70C05">
      <w:pPr>
        <w:spacing w:before="120" w:after="120"/>
        <w:jc w:val="both"/>
        <w:textAlignment w:val="baseline"/>
        <w:rPr>
          <w:rFonts w:cs="Times New Roman"/>
          <w:szCs w:val="24"/>
          <w:lang w:eastAsia="lv-LV"/>
        </w:rPr>
      </w:pPr>
      <w:r w:rsidRPr="004826D1">
        <w:rPr>
          <w:rFonts w:eastAsia="Cambria" w:cs="Times New Roman"/>
          <w:b/>
          <w:bCs/>
          <w:szCs w:val="24"/>
        </w:rPr>
        <w:t xml:space="preserve">Transporta sektorā </w:t>
      </w:r>
      <w:r w:rsidRPr="004826D1">
        <w:rPr>
          <w:rFonts w:eastAsia="Cambria" w:cs="Times New Roman"/>
          <w:szCs w:val="24"/>
        </w:rPr>
        <w:t>izaicinājumus rada</w:t>
      </w:r>
      <w:r w:rsidRPr="004826D1">
        <w:rPr>
          <w:rFonts w:eastAsia="Cambria" w:cs="Times New Roman"/>
          <w:b/>
          <w:bCs/>
          <w:szCs w:val="24"/>
        </w:rPr>
        <w:t xml:space="preserve"> </w:t>
      </w:r>
      <w:r w:rsidRPr="004826D1">
        <w:rPr>
          <w:rFonts w:eastAsia="Cambria" w:cs="Times New Roman"/>
          <w:szCs w:val="24"/>
        </w:rPr>
        <w:t>vecu transportlīdzekļu īpatsvars, zems iedzīvotāju blīvums un augsts lauku reģiona iedzīvotāju īpatsvars (Latvijā - 30,2 % 2022. g.</w:t>
      </w:r>
      <w:r w:rsidRPr="004826D1">
        <w:rPr>
          <w:rStyle w:val="FootnoteReference"/>
          <w:rFonts w:eastAsia="Cambria"/>
          <w:szCs w:val="24"/>
        </w:rPr>
        <w:footnoteReference w:id="36"/>
      </w:r>
      <w:r w:rsidRPr="004826D1">
        <w:rPr>
          <w:rFonts w:eastAsia="Cambria" w:cs="Times New Roman"/>
          <w:szCs w:val="24"/>
        </w:rPr>
        <w:t>, savukārt ES vidēji – 25,2%</w:t>
      </w:r>
      <w:r w:rsidRPr="004826D1">
        <w:rPr>
          <w:rStyle w:val="FootnoteReference"/>
          <w:rFonts w:eastAsia="Cambria"/>
          <w:szCs w:val="24"/>
        </w:rPr>
        <w:footnoteReference w:id="37"/>
      </w:r>
      <w:r w:rsidRPr="004826D1">
        <w:rPr>
          <w:rFonts w:eastAsia="Cambria" w:cs="Times New Roman"/>
          <w:szCs w:val="24"/>
        </w:rPr>
        <w:t xml:space="preserve">), kas veicina transportatkarību un mazina sabiedriskā transporta attīstības pasākumu efektivitāti. Papildus izaicinājumus rada arī sabiedriskā elektrotransporta un hibrīda transporta sistēmu attīstības risinājumu trūkums lauku reģionos. </w:t>
      </w:r>
      <w:r w:rsidRPr="004826D1">
        <w:rPr>
          <w:rFonts w:cs="Times New Roman"/>
          <w:szCs w:val="24"/>
        </w:rPr>
        <w:t xml:space="preserve">Galvenie izaicinājumi </w:t>
      </w:r>
      <w:r w:rsidRPr="004826D1">
        <w:rPr>
          <w:rFonts w:cs="Times New Roman"/>
          <w:b/>
          <w:bCs/>
          <w:szCs w:val="24"/>
        </w:rPr>
        <w:t xml:space="preserve">enerģētikā </w:t>
      </w:r>
      <w:r w:rsidRPr="004826D1">
        <w:rPr>
          <w:rFonts w:cs="Times New Roman"/>
          <w:szCs w:val="24"/>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izmaksu sadārdzinājums. Enerģētikā liels izaicinājums varētu būt dabasgāzes lielais patēriņš “bāzes </w:t>
      </w:r>
      <w:r w:rsidRPr="004826D1">
        <w:rPr>
          <w:rFonts w:cs="Times New Roman"/>
          <w:szCs w:val="24"/>
          <w:lang w:eastAsia="lv-LV"/>
        </w:rPr>
        <w:t>jaudas” nodrošināšanai</w:t>
      </w:r>
      <w:r w:rsidRPr="004826D1">
        <w:rPr>
          <w:rFonts w:cs="Times New Roman"/>
          <w:szCs w:val="24"/>
        </w:rPr>
        <w:t>. ES tiesību akti mežsaimniecības</w:t>
      </w:r>
      <w:r w:rsidRPr="004826D1">
        <w:rPr>
          <w:rStyle w:val="FootnoteReference"/>
          <w:rFonts w:eastAsia="Calibri"/>
          <w:szCs w:val="24"/>
        </w:rPr>
        <w:footnoteReference w:id="38"/>
      </w:r>
      <w:r w:rsidRPr="004826D1">
        <w:rPr>
          <w:rFonts w:cs="Times New Roman"/>
          <w:szCs w:val="24"/>
        </w:rPr>
        <w:t xml:space="preserve"> un bioloģiskās daudzveidības jomā</w:t>
      </w:r>
      <w:r w:rsidRPr="004826D1">
        <w:rPr>
          <w:rStyle w:val="FootnoteReference"/>
          <w:rFonts w:eastAsia="Calibri"/>
          <w:szCs w:val="24"/>
        </w:rPr>
        <w:footnoteReference w:id="39"/>
      </w:r>
      <w:r w:rsidRPr="004826D1">
        <w:rPr>
          <w:rFonts w:cs="Times New Roman"/>
          <w:szCs w:val="24"/>
        </w:rPr>
        <w:t xml:space="preserve">, kā arī stiprinātie ilgtspējas un SEG emisiju ietaupījumu kritēriji ietekmēs arī enerģētisko bioresursu pieejamību, sadārdzinot šādu resursu cenu un palielinot ar šādiem resursiem saistīto administratīvo slogu. </w:t>
      </w:r>
      <w:r w:rsidRPr="004826D1">
        <w:rPr>
          <w:rFonts w:eastAsia="Cambria" w:cs="Times New Roman"/>
          <w:b/>
          <w:bCs/>
          <w:szCs w:val="24"/>
        </w:rPr>
        <w:t xml:space="preserve">Lauksaimniecībā </w:t>
      </w:r>
      <w:r w:rsidRPr="004826D1">
        <w:rPr>
          <w:rFonts w:eastAsia="Cambria" w:cs="Times New Roman"/>
          <w:szCs w:val="24"/>
        </w:rPr>
        <w:t>ir salīdzinoši liels organisko augšņu īpatsvars pret ES vidējo, pieaugošs slāpekļa minerālmēslu patēriņš</w:t>
      </w:r>
      <w:r w:rsidRPr="004826D1">
        <w:rPr>
          <w:rStyle w:val="FootnoteReference"/>
          <w:rFonts w:eastAsia="Cambria"/>
          <w:szCs w:val="24"/>
        </w:rPr>
        <w:footnoteReference w:id="40"/>
      </w:r>
      <w:r w:rsidRPr="004826D1">
        <w:rPr>
          <w:rFonts w:eastAsia="Cambria" w:cs="Times New Roman"/>
          <w:szCs w:val="24"/>
        </w:rPr>
        <w:t>, līdz ar to arī lauksaimniecības augšņu apsaimniekošana rada lielu SEG emisiju īpatsvaru. Lopkopības nozare (jo īpaši lauksaimniecības dzīvnieku zarnu fermentācija) arī rada salīdzinoši</w:t>
      </w:r>
      <w:r w:rsidR="00857535">
        <w:rPr>
          <w:rFonts w:eastAsia="Cambria" w:cs="Times New Roman"/>
          <w:szCs w:val="24"/>
        </w:rPr>
        <w:t xml:space="preserve"> </w:t>
      </w:r>
      <w:r w:rsidRPr="004826D1">
        <w:rPr>
          <w:rFonts w:eastAsia="Cambria" w:cs="Times New Roman"/>
          <w:szCs w:val="24"/>
        </w:rPr>
        <w:t xml:space="preserve">lielu SEG emisiju īpatsvaru. </w:t>
      </w:r>
      <w:r w:rsidRPr="004826D1">
        <w:rPr>
          <w:rFonts w:cs="Times New Roman"/>
          <w:szCs w:val="24"/>
          <w:lang w:eastAsia="lv-LV"/>
        </w:rPr>
        <w:t xml:space="preserve">Šobrīd </w:t>
      </w:r>
      <w:r w:rsidRPr="004826D1">
        <w:rPr>
          <w:rFonts w:cs="Times New Roman"/>
          <w:b/>
          <w:bCs/>
          <w:szCs w:val="24"/>
          <w:lang w:eastAsia="lv-LV"/>
        </w:rPr>
        <w:t xml:space="preserve">ZIZIMM </w:t>
      </w:r>
      <w:r w:rsidRPr="004826D1">
        <w:rPr>
          <w:rFonts w:cs="Times New Roman"/>
          <w:szCs w:val="24"/>
          <w:lang w:eastAsia="lv-LV"/>
        </w:rPr>
        <w:t>sektorā CO</w:t>
      </w:r>
      <w:r w:rsidRPr="004826D1">
        <w:rPr>
          <w:rFonts w:cs="Times New Roman"/>
          <w:szCs w:val="24"/>
          <w:vertAlign w:val="subscript"/>
          <w:lang w:eastAsia="lv-LV"/>
        </w:rPr>
        <w:t>2</w:t>
      </w:r>
      <w:r w:rsidRPr="004826D1">
        <w:rPr>
          <w:rFonts w:cs="Times New Roman"/>
          <w:szCs w:val="24"/>
          <w:lang w:eastAsia="lv-LV"/>
        </w:rPr>
        <w:t xml:space="preserve"> piesaiste nenosedz SEG emisijas, tāpēc nepieciešams ieviest Mērķu scenārijā iekļautos pasākumus sektora virzībai uz mērķu sasniegšanu. Tā kā daudzi no pasākumiem nesniedz tūlītēju efektu,</w:t>
      </w:r>
      <w:r w:rsidR="00857535">
        <w:rPr>
          <w:rFonts w:cs="Times New Roman"/>
          <w:szCs w:val="24"/>
          <w:lang w:eastAsia="lv-LV"/>
        </w:rPr>
        <w:t xml:space="preserve"> </w:t>
      </w:r>
      <w:r w:rsidRPr="004826D1">
        <w:rPr>
          <w:rFonts w:cs="Times New Roman"/>
          <w:szCs w:val="24"/>
          <w:lang w:eastAsia="lv-LV"/>
        </w:rPr>
        <w:t>sektora ietekme uz klimata mērķu sasniegšanu ir jāvērtē ilgtermiņā. </w:t>
      </w:r>
    </w:p>
    <w:p w14:paraId="6D3CDFD4"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lastRenderedPageBreak/>
        <w:t>Vairākums Latvijas iedzīvotāju uzskata, ka cilvēka darbība kopumā ir ietekmējusi šobrīd notiekošās klimata pārmaiņas pasaulē</w:t>
      </w:r>
      <w:r w:rsidRPr="004826D1">
        <w:rPr>
          <w:rStyle w:val="FootnoteReference"/>
          <w:rFonts w:eastAsia="Cambria"/>
          <w:szCs w:val="24"/>
        </w:rPr>
        <w:footnoteReference w:id="41"/>
      </w:r>
      <w:r w:rsidRPr="004826D1">
        <w:rPr>
          <w:rFonts w:eastAsia="Cambria" w:cs="Times New Roman"/>
          <w:szCs w:val="24"/>
        </w:rPr>
        <w:t>. Investīciju un tehnoloģiju pārneses būtisks trūkums kavē SEG emisiju samazinošo pasākumu un pielāgošanās pasākumu īstenošanu. Politisko lēmumu pieņemšana ir laikietilpīga, un pasākumu īstenošana nerada tūlītēju efektu.</w:t>
      </w:r>
    </w:p>
    <w:p w14:paraId="5363B9FB"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t>Klimatnoturības sasniegšanai nepieciešams īstenot tādus pielāgošanās klimata pārmaiņām pasākumus, kas balstās uz klimata risku un ievainojamības izvērtējumu. Pielāgošanās klimata pārmaiņām pasākumu īstenošanai visos pārvaldības līmeņos kā nacionālā, reģionālā, tā arī vietējā līmenī nepieciešams plānot investīcijas, apzinoties, ka to īstenošanas izmaksas, kā arī klimata pārmaiņu radīto seku novēršanas izmaksas nākotnē tikai pieaugs.</w:t>
      </w:r>
    </w:p>
    <w:p w14:paraId="33E2B6AA"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Rīcībpolitikas instrumenti</w:t>
      </w:r>
    </w:p>
    <w:p w14:paraId="1B86617D" w14:textId="77777777"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bCs/>
          <w:sz w:val="24"/>
          <w:szCs w:val="24"/>
        </w:rPr>
        <w:t>Dekarbonizāciju un elektrifikāciju</w:t>
      </w:r>
      <w:r w:rsidRPr="004826D1">
        <w:rPr>
          <w:rFonts w:cs="Times New Roman"/>
          <w:sz w:val="24"/>
          <w:szCs w:val="24"/>
        </w:rPr>
        <w:t xml:space="preserve"> veicinošas politikas un tehnoloģiju izmantošana dos ieguldījumu SEG emisiju samazinājumā (enerģētikā, transportā, lauksaimniecībā, atkritumu apsaimniekošanā, rūpnieciskajos procesos u.c.). Elektrifikācija paredz pāreju no fosilo energoresursu lietošanas uz bezemisiju enerģijas avotiem, tāpat ir nepieciešams attīstīt dažādu alternatīvo degvielu ražošanu un izmantošanu. Tautsaimniecības ceļā uz klimatneitralitāti nepieciešams attīstīt uz tehnoloģijām balstītu oglekļa piesaisti un nodrošināt arī dabiskās oglekļa piesaistes, un veicināt oglekļa uzglabāšanu ilglaicīgos produktos.</w:t>
      </w:r>
    </w:p>
    <w:p w14:paraId="0D56C810" w14:textId="64DD7879"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sz w:val="24"/>
          <w:szCs w:val="24"/>
        </w:rPr>
        <w:t>Zinātnes, pētniecības</w:t>
      </w:r>
      <w:r w:rsidRPr="004826D1">
        <w:rPr>
          <w:rFonts w:cs="Times New Roman"/>
          <w:sz w:val="24"/>
          <w:szCs w:val="24"/>
        </w:rPr>
        <w:t xml:space="preserve"> veicināšana dos ieguldījumu "zaļo" inovāciju attīstīšanā SEG emisiju mazināšanas un pielāgošanās jomās. To komercializēšana nodrošinātu iespēju inovatīvu tehnoloģiju eksportam un radītu augsti kvalificētas darba vietas.</w:t>
      </w:r>
      <w:r w:rsidR="00857535">
        <w:rPr>
          <w:rFonts w:cs="Times New Roman"/>
          <w:sz w:val="24"/>
          <w:szCs w:val="24"/>
        </w:rPr>
        <w:t xml:space="preserve"> </w:t>
      </w:r>
    </w:p>
    <w:p w14:paraId="5545C482" w14:textId="77777777"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sz w:val="24"/>
          <w:szCs w:val="24"/>
        </w:rPr>
        <w:t>Publiskais finansējums un fiskālā politika</w:t>
      </w:r>
      <w:r w:rsidRPr="004826D1">
        <w:rPr>
          <w:rFonts w:cs="Times New Roman"/>
          <w:sz w:val="24"/>
          <w:szCs w:val="24"/>
        </w:rPr>
        <w:t xml:space="preserve"> veicinās paradumu maiņu dodot priekšroku klimatam draudzīgākiem risinājumiem, kā arī nodrošinās taisnīgu pāreju. </w:t>
      </w:r>
    </w:p>
    <w:p w14:paraId="70909FFE" w14:textId="77777777"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sz w:val="24"/>
          <w:szCs w:val="24"/>
        </w:rPr>
        <w:t>Sabiedrības informēšana</w:t>
      </w:r>
      <w:r w:rsidRPr="004826D1">
        <w:rPr>
          <w:rFonts w:cs="Times New Roman"/>
          <w:sz w:val="24"/>
          <w:szCs w:val="24"/>
        </w:rPr>
        <w:t xml:space="preserve"> paredz plašus sabiedrības informēšanas un izglītošanas pasākumus, lai nodrošinātu ikviena iedzīvotāja izpratni un ieinteresētību virzībā uz klimatneitralitāti un klimatnoturību.</w:t>
      </w:r>
    </w:p>
    <w:p w14:paraId="7756BB45" w14:textId="77777777" w:rsidR="00D70C05" w:rsidRPr="004826D1" w:rsidRDefault="00D70C05" w:rsidP="00D70C05">
      <w:pPr>
        <w:spacing w:before="120" w:after="120"/>
        <w:jc w:val="both"/>
        <w:rPr>
          <w:rFonts w:cs="Times New Roman"/>
          <w:szCs w:val="24"/>
        </w:rPr>
      </w:pPr>
      <w:r w:rsidRPr="004826D1">
        <w:rPr>
          <w:rFonts w:cs="Times New Roman"/>
          <w:szCs w:val="24"/>
        </w:rPr>
        <w:t xml:space="preserve">Rīcībpolitikas un pasākumu ieviešanas rezultātā </w:t>
      </w:r>
      <w:r w:rsidRPr="004826D1">
        <w:rPr>
          <w:rFonts w:cs="Times New Roman"/>
          <w:b/>
          <w:szCs w:val="24"/>
        </w:rPr>
        <w:t>mainīsies paradumi</w:t>
      </w:r>
      <w:r w:rsidRPr="004826D1">
        <w:rPr>
          <w:rFonts w:cs="Times New Roman"/>
          <w:szCs w:val="24"/>
        </w:rPr>
        <w:t xml:space="preserve"> sabiedrībā un tautsaimniecībā, </w:t>
      </w:r>
      <w:r w:rsidRPr="004826D1">
        <w:rPr>
          <w:rFonts w:cs="Times New Roman"/>
          <w:b/>
          <w:szCs w:val="24"/>
        </w:rPr>
        <w:t>resursi tiks izmantoti efektīvi</w:t>
      </w:r>
      <w:r w:rsidRPr="004826D1">
        <w:rPr>
          <w:rFonts w:cs="Times New Roman"/>
          <w:szCs w:val="24"/>
        </w:rPr>
        <w:t xml:space="preserve"> un tiks piemēroti cirkulārās ekonomikas principi, kā arī tiks veicināta </w:t>
      </w:r>
      <w:r w:rsidRPr="004826D1">
        <w:rPr>
          <w:rFonts w:cs="Times New Roman"/>
          <w:b/>
          <w:szCs w:val="24"/>
        </w:rPr>
        <w:t>pielāgošanās klimata pārmainām</w:t>
      </w:r>
      <w:r w:rsidRPr="004826D1">
        <w:rPr>
          <w:rFonts w:cs="Times New Roman"/>
          <w:szCs w:val="24"/>
        </w:rPr>
        <w:t xml:space="preserve">. Latvijā tiks ražoti, eksportēti un vietēji patērēti </w:t>
      </w:r>
      <w:r w:rsidRPr="004826D1">
        <w:rPr>
          <w:rFonts w:cs="Times New Roman"/>
          <w:b/>
          <w:szCs w:val="24"/>
        </w:rPr>
        <w:t>augstas pievienotās vērtības produkti</w:t>
      </w:r>
      <w:r w:rsidRPr="004826D1">
        <w:rPr>
          <w:rFonts w:cs="Times New Roman"/>
          <w:szCs w:val="24"/>
        </w:rPr>
        <w:t xml:space="preserve">. Šie procesi ilgtermiņā dos ieguldījumu klimatneitralitātes un klimatnoturības mērķu sasniegšanā, kas arī nodrošinās ilgtspējīgu vidi un Latvijas tautsaimniecības izaugsmi, kā arī labklājību Latvijas iedzīvotājiem. </w:t>
      </w:r>
    </w:p>
    <w:p w14:paraId="555B4AC3"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Rezultāti</w:t>
      </w:r>
    </w:p>
    <w:p w14:paraId="2A500F0E" w14:textId="77777777" w:rsidR="00D70C05" w:rsidRPr="004826D1" w:rsidRDefault="00D70C05" w:rsidP="00B71063">
      <w:pPr>
        <w:pStyle w:val="ListParagraph1"/>
        <w:numPr>
          <w:ilvl w:val="0"/>
          <w:numId w:val="32"/>
        </w:numPr>
        <w:spacing w:before="120" w:after="120"/>
        <w:ind w:left="284" w:hanging="284"/>
        <w:jc w:val="both"/>
        <w:textAlignment w:val="baseline"/>
        <w:rPr>
          <w:rFonts w:cs="Times New Roman"/>
          <w:sz w:val="24"/>
          <w:szCs w:val="24"/>
          <w:lang w:eastAsia="lv-LV"/>
        </w:rPr>
      </w:pPr>
      <w:r w:rsidRPr="004826D1">
        <w:rPr>
          <w:rFonts w:cs="Times New Roman"/>
          <w:b/>
          <w:sz w:val="24"/>
          <w:szCs w:val="24"/>
          <w:lang w:eastAsia="lv-LV"/>
        </w:rPr>
        <w:t xml:space="preserve">Klimatneitralitāte. </w:t>
      </w:r>
      <w:r w:rsidRPr="004826D1">
        <w:rPr>
          <w:rFonts w:cs="Times New Roman"/>
          <w:sz w:val="24"/>
          <w:szCs w:val="24"/>
          <w:lang w:eastAsia="lv-LV"/>
        </w:rPr>
        <w:t xml:space="preserve">Nodrošināts stāvoklis, kurā visas nesamazināmās SEG tiek pilnā apmērā kompensētas ar oglekļa dioksīda piesaisti un / vai oglekļa dioksīda uztveršanu. </w:t>
      </w:r>
    </w:p>
    <w:p w14:paraId="5C5E5B5C" w14:textId="77777777" w:rsidR="00D70C05" w:rsidRPr="004826D1" w:rsidRDefault="00D70C05" w:rsidP="00B71063">
      <w:pPr>
        <w:pStyle w:val="ListParagraph1"/>
        <w:numPr>
          <w:ilvl w:val="0"/>
          <w:numId w:val="32"/>
        </w:numPr>
        <w:spacing w:before="120" w:after="120"/>
        <w:ind w:left="284" w:hanging="284"/>
        <w:jc w:val="both"/>
        <w:textAlignment w:val="baseline"/>
        <w:rPr>
          <w:rFonts w:cs="Times New Roman"/>
          <w:sz w:val="24"/>
          <w:szCs w:val="24"/>
          <w:lang w:eastAsia="lv-LV"/>
        </w:rPr>
      </w:pPr>
      <w:r w:rsidRPr="004826D1">
        <w:rPr>
          <w:rFonts w:cs="Times New Roman"/>
          <w:b/>
          <w:sz w:val="24"/>
          <w:szCs w:val="24"/>
          <w:lang w:eastAsia="lv-LV"/>
        </w:rPr>
        <w:t>Klimatnoturība.</w:t>
      </w:r>
      <w:r w:rsidRPr="004826D1">
        <w:rPr>
          <w:rFonts w:cs="Times New Roman"/>
          <w:sz w:val="24"/>
          <w:szCs w:val="24"/>
          <w:lang w:eastAsia="lv-LV"/>
        </w:rPr>
        <w:t xml:space="preserve"> Veicināta klimatnoturība, veicot klimata pārmaiņu mazināšanas pasākumus un nodrošināta pielāgošanos klimata pārmaiņām; </w:t>
      </w:r>
    </w:p>
    <w:p w14:paraId="2AE3B902" w14:textId="77777777" w:rsidR="00D70C05" w:rsidRPr="004826D1" w:rsidRDefault="00D70C05" w:rsidP="00B71063">
      <w:pPr>
        <w:numPr>
          <w:ilvl w:val="0"/>
          <w:numId w:val="32"/>
        </w:numPr>
        <w:spacing w:before="120" w:after="120"/>
        <w:ind w:left="284" w:hanging="284"/>
        <w:jc w:val="both"/>
        <w:textAlignment w:val="baseline"/>
        <w:rPr>
          <w:rFonts w:cs="Times New Roman"/>
          <w:szCs w:val="24"/>
          <w:lang w:eastAsia="lv-LV"/>
        </w:rPr>
      </w:pPr>
      <w:r w:rsidRPr="004826D1">
        <w:rPr>
          <w:rFonts w:cs="Times New Roman"/>
          <w:b/>
          <w:bCs/>
          <w:szCs w:val="24"/>
          <w:lang w:eastAsia="lv-LV"/>
        </w:rPr>
        <w:t>Tautsaimniecības ilgtspēja.</w:t>
      </w:r>
      <w:r w:rsidRPr="004826D1">
        <w:rPr>
          <w:rFonts w:cs="Times New Roman"/>
          <w:szCs w:val="24"/>
          <w:lang w:eastAsia="lv-LV"/>
        </w:rPr>
        <w:t xml:space="preserve"> Nodrošināta Latvijas virzība uz klimatneitralitāti, veidojot tautsaimniecības attīstību, kas ir konkurētspējīga un nodrošina IKP pieaugumu, vienlaikus mazinot SEG emisiju apjomu un palielinot CO</w:t>
      </w:r>
      <w:r w:rsidRPr="004826D1">
        <w:rPr>
          <w:rFonts w:cs="Times New Roman"/>
          <w:szCs w:val="24"/>
          <w:vertAlign w:val="subscript"/>
          <w:lang w:eastAsia="lv-LV"/>
        </w:rPr>
        <w:t>2</w:t>
      </w:r>
      <w:r w:rsidRPr="004826D1">
        <w:rPr>
          <w:rFonts w:cs="Times New Roman"/>
          <w:szCs w:val="24"/>
          <w:lang w:eastAsia="lv-LV"/>
        </w:rPr>
        <w:t xml:space="preserve"> piesaisti, kā arī neradot negatīvu ietekmi uz saistīto politiku mērķu sasniegšanu.</w:t>
      </w:r>
    </w:p>
    <w:p w14:paraId="7D3D3A5E" w14:textId="77777777" w:rsidR="00D70C05" w:rsidRPr="004826D1" w:rsidRDefault="00D70C05" w:rsidP="00B71063">
      <w:pPr>
        <w:numPr>
          <w:ilvl w:val="0"/>
          <w:numId w:val="32"/>
        </w:numPr>
        <w:spacing w:before="120" w:after="120"/>
        <w:ind w:left="284" w:hanging="284"/>
        <w:jc w:val="both"/>
        <w:textAlignment w:val="baseline"/>
        <w:rPr>
          <w:rFonts w:cs="Times New Roman"/>
          <w:szCs w:val="24"/>
          <w:lang w:eastAsia="lv-LV"/>
        </w:rPr>
      </w:pPr>
      <w:r w:rsidRPr="004826D1">
        <w:rPr>
          <w:rFonts w:cs="Times New Roman"/>
          <w:b/>
          <w:szCs w:val="24"/>
          <w:lang w:eastAsia="lv-LV"/>
        </w:rPr>
        <w:t xml:space="preserve">Vides un dabas ilgtspēja. </w:t>
      </w:r>
      <w:r w:rsidRPr="004826D1">
        <w:rPr>
          <w:rFonts w:cs="Times New Roman"/>
          <w:bCs/>
          <w:szCs w:val="24"/>
          <w:lang w:eastAsia="lv-LV"/>
        </w:rPr>
        <w:t>Sasniegta</w:t>
      </w:r>
      <w:r w:rsidRPr="004826D1">
        <w:rPr>
          <w:rFonts w:cs="Times New Roman"/>
          <w:b/>
          <w:szCs w:val="24"/>
          <w:lang w:eastAsia="lv-LV"/>
        </w:rPr>
        <w:t xml:space="preserve"> </w:t>
      </w:r>
      <w:r w:rsidRPr="004826D1">
        <w:rPr>
          <w:rFonts w:cs="Times New Roman"/>
          <w:bCs/>
          <w:szCs w:val="24"/>
          <w:lang w:eastAsia="lv-LV"/>
        </w:rPr>
        <w:t xml:space="preserve">klimatneitralitāte un klimatnoturība, </w:t>
      </w:r>
      <w:r w:rsidRPr="004826D1">
        <w:rPr>
          <w:rFonts w:cs="Times New Roman"/>
          <w:szCs w:val="24"/>
          <w:lang w:eastAsia="lv-LV"/>
        </w:rPr>
        <w:t>aizsargājot ūdens resursus un bioloģisko daudzveidību, nodrošinot pāreju uz aprites ekonomiku un piesārņojuma mazināšanu un kontroli; </w:t>
      </w:r>
    </w:p>
    <w:p w14:paraId="30F534A4" w14:textId="77777777" w:rsidR="00D70C05" w:rsidRDefault="00D70C05" w:rsidP="00B71063">
      <w:pPr>
        <w:numPr>
          <w:ilvl w:val="0"/>
          <w:numId w:val="32"/>
        </w:numPr>
        <w:spacing w:before="120" w:after="120"/>
        <w:ind w:left="284" w:hanging="284"/>
        <w:jc w:val="both"/>
        <w:textAlignment w:val="baseline"/>
        <w:rPr>
          <w:rFonts w:cs="Times New Roman"/>
          <w:szCs w:val="24"/>
          <w:lang w:eastAsia="lv-LV"/>
        </w:rPr>
      </w:pPr>
      <w:r w:rsidRPr="004826D1">
        <w:rPr>
          <w:rFonts w:cs="Times New Roman"/>
          <w:b/>
          <w:bCs/>
          <w:szCs w:val="24"/>
          <w:lang w:eastAsia="lv-LV"/>
        </w:rPr>
        <w:lastRenderedPageBreak/>
        <w:t>Labklājīga sabiedrība.</w:t>
      </w:r>
      <w:r w:rsidRPr="004826D1">
        <w:rPr>
          <w:rFonts w:cs="Times New Roman"/>
          <w:szCs w:val="24"/>
          <w:lang w:eastAsia="lv-LV"/>
        </w:rPr>
        <w:t xml:space="preserve"> Klimata rīcībpolitiku īstenot sociāli taisnīgā veidā, lai īstermiņā un ilgtermiņā mazinātu enerģētisko un mobilitātes nabadzību, paredzot finanšu instrumentu izmantošanu arī tādiem īstenojamiem pasākumiem, kas ņem vērā sociālos aspektus. </w:t>
      </w:r>
    </w:p>
    <w:p w14:paraId="49F1413B" w14:textId="77777777" w:rsidR="005172F4" w:rsidRPr="005172F4" w:rsidRDefault="005172F4" w:rsidP="005172F4">
      <w:pPr>
        <w:spacing w:before="120" w:after="120"/>
        <w:jc w:val="both"/>
        <w:rPr>
          <w:rFonts w:cs="Times New Roman"/>
          <w:szCs w:val="24"/>
        </w:rPr>
      </w:pPr>
      <w:r w:rsidRPr="005172F4">
        <w:rPr>
          <w:rFonts w:cs="Times New Roman"/>
          <w:szCs w:val="24"/>
        </w:rPr>
        <w:t>Klimata rīcībpolitikas ceļakarte grafiski kopsavilkt</w:t>
      </w:r>
      <w:r>
        <w:rPr>
          <w:rFonts w:cs="Times New Roman"/>
          <w:szCs w:val="24"/>
        </w:rPr>
        <w:t>a</w:t>
      </w:r>
      <w:r w:rsidRPr="005172F4">
        <w:rPr>
          <w:rFonts w:cs="Times New Roman"/>
          <w:szCs w:val="24"/>
        </w:rPr>
        <w:t xml:space="preserve"> 3.</w:t>
      </w:r>
      <w:r>
        <w:rPr>
          <w:rFonts w:cs="Times New Roman"/>
          <w:szCs w:val="24"/>
        </w:rPr>
        <w:t>6</w:t>
      </w:r>
      <w:r w:rsidRPr="005172F4">
        <w:rPr>
          <w:rFonts w:cs="Times New Roman"/>
          <w:szCs w:val="24"/>
        </w:rPr>
        <w:t>. attēlā.</w:t>
      </w:r>
    </w:p>
    <w:p w14:paraId="4760637A" w14:textId="40D4B863"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996B1B6" wp14:editId="1EEAD7A9">
            <wp:extent cx="5762625" cy="3238500"/>
            <wp:effectExtent l="0" t="0" r="9525" b="0"/>
            <wp:docPr id="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descr="A diagram of a diagram&#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57D52080" w14:textId="77777777" w:rsidR="005172F4" w:rsidRPr="005172F4" w:rsidRDefault="005172F4" w:rsidP="00D70C05">
      <w:pPr>
        <w:spacing w:before="120" w:after="120"/>
        <w:jc w:val="both"/>
        <w:rPr>
          <w:rFonts w:cs="Times New Roman"/>
          <w:b/>
          <w:szCs w:val="24"/>
        </w:rPr>
      </w:pPr>
      <w:r w:rsidRPr="005172F4">
        <w:rPr>
          <w:rFonts w:cs="Times New Roman"/>
          <w:b/>
          <w:szCs w:val="24"/>
        </w:rPr>
        <w:t xml:space="preserve">3.6. attēls. Klimata rīcībpolitikas ceļakarte </w:t>
      </w:r>
    </w:p>
    <w:p w14:paraId="264CBEE5" w14:textId="77777777" w:rsidR="005172F4" w:rsidRDefault="005172F4" w:rsidP="00D70C05">
      <w:pPr>
        <w:spacing w:before="120" w:after="120"/>
        <w:jc w:val="both"/>
        <w:rPr>
          <w:rFonts w:cs="Times New Roman"/>
          <w:b/>
          <w:color w:val="155452"/>
          <w:szCs w:val="24"/>
        </w:rPr>
      </w:pPr>
    </w:p>
    <w:p w14:paraId="69441C59"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 xml:space="preserve">Rīcībpolitikas virzieni transporta nozarē </w:t>
      </w:r>
    </w:p>
    <w:p w14:paraId="75007545" w14:textId="77777777" w:rsidR="00D70C05" w:rsidRDefault="00D70C05" w:rsidP="00D70C05">
      <w:pPr>
        <w:spacing w:before="120" w:after="120"/>
        <w:jc w:val="both"/>
        <w:rPr>
          <w:rFonts w:cs="Times New Roman"/>
          <w:szCs w:val="24"/>
        </w:rPr>
      </w:pPr>
      <w:r w:rsidRPr="004826D1">
        <w:rPr>
          <w:rFonts w:cs="Times New Roman"/>
          <w:szCs w:val="24"/>
        </w:rPr>
        <w:t>Transporta sektorā ir veicami pasākumi vairākos virzienos: 1) dzelzceļa transporta nozīmes stiprināšana; 2) sabiedriskā transporta pieejamības un kvalitātes uzlabošana; 3) Latvijas autoparka atjaunošana ar zemu emisiju vai bezemisiju transporta līdzekļiem un pakāpeniska Latvijas autoparka vidējā vecuma samazināšana. Lai to nodrošinātu, pirmkārt, nepieciešams attīstīt nodokļu politiku, kas stimulē autoparka nomaiņu un stiprina “piesārņotājs maksā” principa piemērošanu. Otrkārt, jāattīsta atbalsta programmas transportlīdzekļu nomaiņai konkrētām mērķa grupām, fokusējoties uz mazaizsargātajiem transporta lietotājiem vai komersantiem (arī pašvaldību komersantiem), fokusējoties uz vieglo un kravas transportlīdzekļiem un sabiedrisko transportu. Treškārt, nepieciešams attīstīt transporta enerģijas infrastruktūru ar alternatīvo degvielu uzpildes punktiem. Jāveicina sabiedrības paradumu maiņa, dažādojot sabiedriskā transporta pakalpojumus, attīstot mikromobilitāti un pārveidojot pilsētplānošanas risinājumus. Būtiski ir pielāgot ceļu infrastruktūru klimatisko apstākļu ekstremālajām izpausmēm, kas ir sevišķi svarīgi civilās aizsardzības pasākumu īstenošanas un satiksmes drošības kontekstā.</w:t>
      </w:r>
    </w:p>
    <w:p w14:paraId="2D9FCA55" w14:textId="77777777" w:rsidR="00B84AE9" w:rsidRPr="005172F4" w:rsidRDefault="00B84AE9" w:rsidP="00B84AE9">
      <w:pPr>
        <w:spacing w:before="120" w:after="120"/>
        <w:jc w:val="both"/>
        <w:rPr>
          <w:rFonts w:cs="Times New Roman"/>
          <w:szCs w:val="24"/>
        </w:rPr>
      </w:pPr>
      <w:r w:rsidRPr="005172F4">
        <w:rPr>
          <w:rFonts w:cs="Times New Roman"/>
          <w:szCs w:val="24"/>
        </w:rPr>
        <w:t xml:space="preserve">Rīcībpolitikas virzieni </w:t>
      </w:r>
      <w:r>
        <w:rPr>
          <w:rFonts w:cs="Times New Roman"/>
          <w:szCs w:val="24"/>
        </w:rPr>
        <w:t xml:space="preserve">transporta </w:t>
      </w:r>
      <w:r w:rsidRPr="005172F4">
        <w:rPr>
          <w:rFonts w:cs="Times New Roman"/>
          <w:szCs w:val="24"/>
        </w:rPr>
        <w:t>nozarē grafiski kopsavilkti 3.</w:t>
      </w:r>
      <w:r>
        <w:rPr>
          <w:rFonts w:cs="Times New Roman"/>
          <w:szCs w:val="24"/>
        </w:rPr>
        <w:t>7</w:t>
      </w:r>
      <w:r w:rsidRPr="005172F4">
        <w:rPr>
          <w:rFonts w:cs="Times New Roman"/>
          <w:szCs w:val="24"/>
        </w:rPr>
        <w:t>. attēlā.</w:t>
      </w:r>
    </w:p>
    <w:p w14:paraId="6621F8DE" w14:textId="77777777" w:rsidR="00B84AE9" w:rsidRPr="004826D1" w:rsidRDefault="00B84AE9" w:rsidP="00D70C05">
      <w:pPr>
        <w:spacing w:before="120" w:after="120"/>
        <w:jc w:val="both"/>
        <w:rPr>
          <w:rFonts w:cs="Times New Roman"/>
          <w:szCs w:val="24"/>
        </w:rPr>
      </w:pPr>
    </w:p>
    <w:p w14:paraId="40553C42" w14:textId="52165308" w:rsidR="00D70C05" w:rsidRPr="004826D1" w:rsidRDefault="00D70C05" w:rsidP="00D70C05">
      <w:pPr>
        <w:spacing w:before="120" w:after="120"/>
        <w:jc w:val="both"/>
        <w:rPr>
          <w:rFonts w:cs="Times New Roman"/>
          <w:szCs w:val="24"/>
        </w:rPr>
      </w:pPr>
      <w:r w:rsidRPr="004826D1">
        <w:rPr>
          <w:rFonts w:eastAsia="Cambria" w:cs="Times New Roman"/>
          <w:szCs w:val="24"/>
        </w:rPr>
        <w:lastRenderedPageBreak/>
        <w:t xml:space="preserve"> </w:t>
      </w:r>
      <w:r w:rsidR="000654E1">
        <w:rPr>
          <w:rFonts w:cs="Times New Roman"/>
          <w:noProof/>
          <w:szCs w:val="24"/>
          <w:lang w:eastAsia="lv-LV"/>
        </w:rPr>
        <w:drawing>
          <wp:inline distT="0" distB="0" distL="0" distR="0" wp14:anchorId="252C99C4" wp14:editId="41ED9267">
            <wp:extent cx="5581650" cy="3114675"/>
            <wp:effectExtent l="0" t="0" r="0" b="9525"/>
            <wp:docPr id="7"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9716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1650" cy="3114675"/>
                    </a:xfrm>
                    <a:prstGeom prst="rect">
                      <a:avLst/>
                    </a:prstGeom>
                    <a:noFill/>
                    <a:ln>
                      <a:noFill/>
                    </a:ln>
                  </pic:spPr>
                </pic:pic>
              </a:graphicData>
            </a:graphic>
          </wp:inline>
        </w:drawing>
      </w:r>
    </w:p>
    <w:p w14:paraId="20F58120" w14:textId="77777777" w:rsidR="00B84AE9" w:rsidRPr="00B84AE9" w:rsidRDefault="00B84AE9" w:rsidP="00B84AE9">
      <w:pPr>
        <w:spacing w:before="120" w:after="120"/>
        <w:jc w:val="both"/>
        <w:rPr>
          <w:rFonts w:cs="Times New Roman"/>
          <w:b/>
          <w:szCs w:val="24"/>
        </w:rPr>
      </w:pPr>
      <w:r w:rsidRPr="00B84AE9">
        <w:rPr>
          <w:rFonts w:cs="Times New Roman"/>
          <w:b/>
          <w:szCs w:val="24"/>
        </w:rPr>
        <w:t xml:space="preserve">3.7. attēls. Rīcībpolitikas virzieni transporta nozarē </w:t>
      </w:r>
    </w:p>
    <w:p w14:paraId="0567779A" w14:textId="77777777" w:rsidR="00B84AE9" w:rsidRPr="004826D1" w:rsidRDefault="00B84AE9" w:rsidP="00B84AE9">
      <w:pPr>
        <w:spacing w:before="120" w:after="120"/>
        <w:rPr>
          <w:rFonts w:eastAsia="Calibri" w:cs="Times New Roman"/>
          <w:szCs w:val="24"/>
        </w:rPr>
      </w:pPr>
    </w:p>
    <w:p w14:paraId="6D6413A7"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 xml:space="preserve">Rīcībpolitikas virzieni </w:t>
      </w:r>
      <w:r w:rsidRPr="004826D1">
        <w:rPr>
          <w:rFonts w:cs="Times New Roman"/>
          <w:b/>
          <w:bCs/>
          <w:color w:val="155452"/>
          <w:szCs w:val="24"/>
        </w:rPr>
        <w:t>lauksaimniecības, mežsaimniecības</w:t>
      </w:r>
      <w:r w:rsidRPr="004826D1">
        <w:rPr>
          <w:rFonts w:cs="Times New Roman"/>
          <w:b/>
          <w:color w:val="155452"/>
          <w:szCs w:val="24"/>
        </w:rPr>
        <w:t xml:space="preserve"> un </w:t>
      </w:r>
      <w:r w:rsidRPr="004826D1">
        <w:rPr>
          <w:rFonts w:cs="Times New Roman"/>
          <w:b/>
          <w:bCs/>
          <w:color w:val="155452"/>
          <w:szCs w:val="24"/>
        </w:rPr>
        <w:t>zemes izmantošanas</w:t>
      </w:r>
      <w:r w:rsidRPr="004826D1">
        <w:rPr>
          <w:rFonts w:cs="Times New Roman"/>
          <w:b/>
          <w:color w:val="155452"/>
          <w:szCs w:val="24"/>
        </w:rPr>
        <w:t xml:space="preserve"> nozarēs</w:t>
      </w:r>
    </w:p>
    <w:p w14:paraId="3352DD2A" w14:textId="4DCA4102" w:rsidR="00D70C05" w:rsidRPr="004826D1" w:rsidRDefault="00D70C05" w:rsidP="00D70C05">
      <w:pPr>
        <w:spacing w:before="120" w:after="120"/>
        <w:jc w:val="both"/>
        <w:textAlignment w:val="baseline"/>
        <w:rPr>
          <w:rFonts w:cs="Times New Roman"/>
          <w:szCs w:val="24"/>
          <w:lang w:eastAsia="lv-LV"/>
        </w:rPr>
      </w:pPr>
      <w:r w:rsidRPr="004826D1">
        <w:rPr>
          <w:rFonts w:cs="Times New Roman"/>
          <w:szCs w:val="24"/>
          <w:lang w:eastAsia="lv-LV"/>
        </w:rPr>
        <w:t>Klimata politikas īstenošana var sekmēt Latvijā ražotu produktu patēriņu un arī eksportu. Šeit liela nozīme ir zinātnes un izglītības attīstībai un zinātnes atziņu izmantošanai praksē. Klimatneitrālu produktu ražošanai un CO</w:t>
      </w:r>
      <w:r w:rsidRPr="004826D1">
        <w:rPr>
          <w:rFonts w:cs="Times New Roman"/>
          <w:szCs w:val="24"/>
          <w:vertAlign w:val="subscript"/>
          <w:lang w:eastAsia="lv-LV"/>
        </w:rPr>
        <w:t>2</w:t>
      </w:r>
      <w:r w:rsidRPr="004826D1">
        <w:rPr>
          <w:rFonts w:cs="Times New Roman"/>
          <w:szCs w:val="24"/>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w:t>
      </w:r>
      <w:r w:rsidR="00857535">
        <w:rPr>
          <w:rFonts w:cs="Times New Roman"/>
          <w:szCs w:val="24"/>
          <w:lang w:eastAsia="lv-LV"/>
        </w:rPr>
        <w:t xml:space="preserve"> </w:t>
      </w:r>
    </w:p>
    <w:p w14:paraId="0CFB5287" w14:textId="26C403A5" w:rsidR="00D70C05" w:rsidRDefault="00D70C05" w:rsidP="00D70C05">
      <w:pPr>
        <w:spacing w:before="120" w:after="120"/>
        <w:jc w:val="both"/>
        <w:rPr>
          <w:rFonts w:cs="Times New Roman"/>
          <w:szCs w:val="24"/>
          <w:lang w:eastAsia="lv-LV"/>
        </w:rPr>
      </w:pPr>
      <w:r w:rsidRPr="004826D1">
        <w:rPr>
          <w:rFonts w:cs="Times New Roman"/>
          <w:szCs w:val="24"/>
          <w:lang w:eastAsia="lv-LV"/>
        </w:rPr>
        <w:t>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w:t>
      </w:r>
      <w:r w:rsidR="00857535">
        <w:rPr>
          <w:rFonts w:cs="Times New Roman"/>
          <w:szCs w:val="24"/>
          <w:lang w:eastAsia="lv-LV"/>
        </w:rPr>
        <w:t xml:space="preserve"> </w:t>
      </w:r>
      <w:r w:rsidRPr="004826D1">
        <w:rPr>
          <w:rFonts w:cs="Times New Roman"/>
          <w:szCs w:val="24"/>
          <w:lang w:eastAsia="lv-LV"/>
        </w:rPr>
        <w:t>un stiprinātu klimatnoturību</w:t>
      </w:r>
      <w:r w:rsidR="00857535">
        <w:rPr>
          <w:rFonts w:cs="Times New Roman"/>
          <w:szCs w:val="24"/>
          <w:lang w:eastAsia="lv-LV"/>
        </w:rPr>
        <w:t xml:space="preserve"> </w:t>
      </w:r>
      <w:r w:rsidRPr="004826D1">
        <w:rPr>
          <w:rFonts w:cs="Times New Roman"/>
          <w:szCs w:val="24"/>
          <w:lang w:eastAsia="lv-LV"/>
        </w:rPr>
        <w:t>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14:paraId="2099B659" w14:textId="77777777" w:rsidR="00B84AE9" w:rsidRPr="005172F4" w:rsidRDefault="00B84AE9" w:rsidP="00B84AE9">
      <w:pPr>
        <w:spacing w:before="120" w:after="120"/>
        <w:jc w:val="both"/>
        <w:rPr>
          <w:rFonts w:cs="Times New Roman"/>
          <w:szCs w:val="24"/>
        </w:rPr>
      </w:pPr>
      <w:r w:rsidRPr="005172F4">
        <w:rPr>
          <w:rFonts w:cs="Times New Roman"/>
          <w:szCs w:val="24"/>
        </w:rPr>
        <w:t xml:space="preserve">Rīcībpolitikas virzieni </w:t>
      </w:r>
      <w:r w:rsidRPr="00B84AE9">
        <w:rPr>
          <w:rFonts w:cs="Times New Roman"/>
          <w:szCs w:val="24"/>
        </w:rPr>
        <w:t>lauksaimniecības, mežsaimniecības un zemes izmantošanas nozarēs</w:t>
      </w:r>
      <w:r>
        <w:rPr>
          <w:rFonts w:cs="Times New Roman"/>
          <w:szCs w:val="24"/>
        </w:rPr>
        <w:t xml:space="preserve"> </w:t>
      </w:r>
      <w:r w:rsidRPr="005172F4">
        <w:rPr>
          <w:rFonts w:cs="Times New Roman"/>
          <w:szCs w:val="24"/>
        </w:rPr>
        <w:t>grafiski kopsavilkti 3.</w:t>
      </w:r>
      <w:r>
        <w:rPr>
          <w:rFonts w:cs="Times New Roman"/>
          <w:szCs w:val="24"/>
        </w:rPr>
        <w:t>8</w:t>
      </w:r>
      <w:r w:rsidRPr="005172F4">
        <w:rPr>
          <w:rFonts w:cs="Times New Roman"/>
          <w:szCs w:val="24"/>
        </w:rPr>
        <w:t>. attēlā.</w:t>
      </w:r>
    </w:p>
    <w:p w14:paraId="43F53BBD" w14:textId="77777777" w:rsidR="00B84AE9" w:rsidRPr="004826D1" w:rsidRDefault="00B84AE9" w:rsidP="00D70C05">
      <w:pPr>
        <w:spacing w:before="120" w:after="120"/>
        <w:jc w:val="both"/>
        <w:rPr>
          <w:rFonts w:cs="Times New Roman"/>
          <w:b/>
          <w:bCs/>
          <w:color w:val="155452"/>
          <w:szCs w:val="24"/>
        </w:rPr>
      </w:pPr>
    </w:p>
    <w:p w14:paraId="32019F79" w14:textId="0F3A1751" w:rsidR="00D70C05" w:rsidRPr="004826D1" w:rsidRDefault="00D70C05" w:rsidP="00D70C05">
      <w:pPr>
        <w:spacing w:before="120" w:after="120"/>
        <w:jc w:val="center"/>
        <w:rPr>
          <w:rFonts w:cs="Times New Roman"/>
          <w:b/>
          <w:bCs/>
          <w:color w:val="155452"/>
          <w:szCs w:val="24"/>
        </w:rPr>
      </w:pPr>
      <w:r w:rsidRPr="004826D1">
        <w:rPr>
          <w:rFonts w:cs="Times New Roman"/>
          <w:szCs w:val="24"/>
        </w:rPr>
        <w:lastRenderedPageBreak/>
        <w:t xml:space="preserve"> </w:t>
      </w:r>
      <w:r w:rsidR="000654E1">
        <w:rPr>
          <w:rFonts w:cs="Times New Roman"/>
          <w:noProof/>
          <w:szCs w:val="24"/>
          <w:lang w:eastAsia="lv-LV"/>
        </w:rPr>
        <w:drawing>
          <wp:inline distT="0" distB="0" distL="0" distR="0" wp14:anchorId="3B13B76A" wp14:editId="470827C7">
            <wp:extent cx="5591175" cy="3143250"/>
            <wp:effectExtent l="0" t="0" r="9525" b="0"/>
            <wp:docPr id="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1175" cy="3143250"/>
                    </a:xfrm>
                    <a:prstGeom prst="rect">
                      <a:avLst/>
                    </a:prstGeom>
                    <a:noFill/>
                    <a:ln>
                      <a:noFill/>
                    </a:ln>
                  </pic:spPr>
                </pic:pic>
              </a:graphicData>
            </a:graphic>
          </wp:inline>
        </w:drawing>
      </w:r>
    </w:p>
    <w:p w14:paraId="034FA852" w14:textId="77777777" w:rsidR="00B84AE9" w:rsidRPr="00B84AE9" w:rsidRDefault="00B84AE9" w:rsidP="00B84AE9">
      <w:pPr>
        <w:spacing w:before="120" w:after="120"/>
        <w:jc w:val="both"/>
        <w:rPr>
          <w:rFonts w:cs="Times New Roman"/>
          <w:b/>
          <w:szCs w:val="24"/>
        </w:rPr>
      </w:pPr>
      <w:r w:rsidRPr="00B84AE9">
        <w:rPr>
          <w:rFonts w:cs="Times New Roman"/>
          <w:b/>
          <w:szCs w:val="24"/>
        </w:rPr>
        <w:t>3.8. attēls. Rīcībpolitikas virzieni lauksaimniecības, mežsaimniecības un zemes izmantošanas nozarēs</w:t>
      </w:r>
    </w:p>
    <w:p w14:paraId="21F91095" w14:textId="77777777" w:rsidR="00BA1A52" w:rsidRDefault="00BA1A52" w:rsidP="00D70C05">
      <w:pPr>
        <w:spacing w:before="120" w:after="120"/>
        <w:jc w:val="both"/>
        <w:rPr>
          <w:rFonts w:cs="Times New Roman"/>
          <w:b/>
          <w:bCs/>
          <w:color w:val="155452"/>
          <w:szCs w:val="24"/>
        </w:rPr>
      </w:pPr>
    </w:p>
    <w:p w14:paraId="6AFDDFD9"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Rīcībpolitikas virzieni ēku, rūpniecības un aprites ekonomikas nozarēs</w:t>
      </w:r>
    </w:p>
    <w:p w14:paraId="28816FC2" w14:textId="77777777" w:rsidR="00666770" w:rsidRPr="005172F4" w:rsidRDefault="00D70C05" w:rsidP="00666770">
      <w:pPr>
        <w:spacing w:before="120" w:after="120"/>
        <w:jc w:val="both"/>
        <w:rPr>
          <w:rFonts w:cs="Times New Roman"/>
          <w:szCs w:val="24"/>
        </w:rPr>
      </w:pPr>
      <w:r w:rsidRPr="004826D1">
        <w:rPr>
          <w:rFonts w:cs="Times New Roman"/>
          <w:szCs w:val="24"/>
        </w:rPr>
        <w:t>Pilsētvides un ārpus pilsētām esošās infrastruktūras un rūpniecības objektiem jāveic klimata risku un klimatnoturības novērtējums, kā arī attīstības plānošanas dokumentos un investīciju projektu īstenošanā jāiekļauj kritēriji, kas ņem vērā ar klimata pārmaiņām saistītos riskus un jāplāno attiecīgi pielāgošanās pasākumi.</w:t>
      </w:r>
      <w:r w:rsidR="00666770">
        <w:rPr>
          <w:rFonts w:cs="Times New Roman"/>
          <w:szCs w:val="24"/>
        </w:rPr>
        <w:t xml:space="preserve"> </w:t>
      </w:r>
      <w:r w:rsidR="00666770" w:rsidRPr="005172F4">
        <w:rPr>
          <w:rFonts w:cs="Times New Roman"/>
          <w:szCs w:val="24"/>
        </w:rPr>
        <w:t xml:space="preserve">Rīcībpolitikas virzieni </w:t>
      </w:r>
      <w:r w:rsidR="00666770" w:rsidRPr="00B84AE9">
        <w:rPr>
          <w:rFonts w:cs="Times New Roman"/>
          <w:szCs w:val="24"/>
        </w:rPr>
        <w:t>ēku, rūpniecības un aprites ekonomikas nozarēs</w:t>
      </w:r>
      <w:r w:rsidR="00666770">
        <w:rPr>
          <w:rFonts w:cs="Times New Roman"/>
          <w:szCs w:val="24"/>
        </w:rPr>
        <w:t xml:space="preserve"> </w:t>
      </w:r>
      <w:r w:rsidR="00666770" w:rsidRPr="005172F4">
        <w:rPr>
          <w:rFonts w:cs="Times New Roman"/>
          <w:szCs w:val="24"/>
        </w:rPr>
        <w:t>grafiski kopsavilkti 3.</w:t>
      </w:r>
      <w:r w:rsidR="00666770">
        <w:rPr>
          <w:rFonts w:cs="Times New Roman"/>
          <w:szCs w:val="24"/>
        </w:rPr>
        <w:t>9</w:t>
      </w:r>
      <w:r w:rsidR="00666770" w:rsidRPr="005172F4">
        <w:rPr>
          <w:rFonts w:cs="Times New Roman"/>
          <w:szCs w:val="24"/>
        </w:rPr>
        <w:t>. attēlā.</w:t>
      </w:r>
    </w:p>
    <w:p w14:paraId="08A93CEC" w14:textId="39DF8430"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E7034B9" wp14:editId="48BAF2F9">
            <wp:extent cx="4933950" cy="2771775"/>
            <wp:effectExtent l="0" t="0" r="0" b="9525"/>
            <wp:docPr id="9" name="Picture 175830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3079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3950" cy="2771775"/>
                    </a:xfrm>
                    <a:prstGeom prst="rect">
                      <a:avLst/>
                    </a:prstGeom>
                    <a:noFill/>
                    <a:ln>
                      <a:noFill/>
                    </a:ln>
                  </pic:spPr>
                </pic:pic>
              </a:graphicData>
            </a:graphic>
          </wp:inline>
        </w:drawing>
      </w:r>
    </w:p>
    <w:p w14:paraId="5F92DC3C" w14:textId="77777777" w:rsidR="00AD7919" w:rsidRPr="00AD7919" w:rsidRDefault="00AD7919" w:rsidP="00AD7919">
      <w:pPr>
        <w:spacing w:before="120" w:after="120"/>
        <w:jc w:val="both"/>
        <w:rPr>
          <w:rFonts w:cs="Times New Roman"/>
          <w:b/>
          <w:szCs w:val="24"/>
        </w:rPr>
      </w:pPr>
      <w:r w:rsidRPr="00AD7919">
        <w:rPr>
          <w:rFonts w:cs="Times New Roman"/>
          <w:b/>
          <w:szCs w:val="24"/>
        </w:rPr>
        <w:t>3.9. attēls. Rīcībpolitikas virzieni ēku, rūpniecības un aprites ekonomikas nozarēs</w:t>
      </w:r>
    </w:p>
    <w:p w14:paraId="2017D3F9" w14:textId="77777777" w:rsidR="00666770" w:rsidRDefault="00666770" w:rsidP="00666770">
      <w:pPr>
        <w:spacing w:before="120" w:after="120"/>
        <w:jc w:val="both"/>
        <w:rPr>
          <w:rFonts w:cs="Times New Roman"/>
          <w:szCs w:val="24"/>
        </w:rPr>
      </w:pPr>
    </w:p>
    <w:p w14:paraId="4D2BB9B1" w14:textId="77777777" w:rsidR="00666770" w:rsidRDefault="00666770" w:rsidP="00666770">
      <w:pPr>
        <w:spacing w:before="120" w:after="120"/>
        <w:jc w:val="both"/>
        <w:rPr>
          <w:rFonts w:cs="Times New Roman"/>
          <w:szCs w:val="24"/>
        </w:rPr>
      </w:pPr>
      <w:r w:rsidRPr="004826D1">
        <w:rPr>
          <w:rFonts w:cs="Times New Roman"/>
          <w:szCs w:val="24"/>
        </w:rPr>
        <w:t xml:space="preserve">Jāpilnveido resursu izmantošanas un apsaimniekošanas efektivitāte, veidojot atbalsta programmas un pilnveidojot normatīvo regulējumu ēku energoefektivitātes paaugstināšanai, dažādojot ēku renovācijas finansēšanas modeļus, tai skaitā veicinot privātā sektora iesaisti, viedo tehnoloģiju ieviešanai un neefektīva patēriņa mazināšanai, ražošanas procesu </w:t>
      </w:r>
      <w:r w:rsidRPr="004826D1">
        <w:rPr>
          <w:rFonts w:cs="Times New Roman"/>
          <w:szCs w:val="24"/>
        </w:rPr>
        <w:lastRenderedPageBreak/>
        <w:t xml:space="preserve">efektivizācijai un pārejai uz atjaunojamiem enerģijas resursiem. Jāveicina Latvijā ražotu produktu lietošanu attīstot kokmateriālu izmantošanu būvniecībā, </w:t>
      </w:r>
      <w:r w:rsidRPr="004826D1">
        <w:rPr>
          <w:rFonts w:eastAsia="Cambria" w:cs="Times New Roman"/>
          <w:szCs w:val="24"/>
        </w:rPr>
        <w:t>kā arī jāveido jaunas ražotnes šobrīd eksportējamo apaļo kokmateriālu pārstrādei koksnes produktos</w:t>
      </w:r>
      <w:r w:rsidRPr="004826D1">
        <w:rPr>
          <w:rFonts w:cs="Times New Roman"/>
          <w:szCs w:val="24"/>
        </w:rPr>
        <w:t xml:space="preserve">, tādējādi palielinot pievienoto vērtību un attīstot aprites ekonomikas principus un tehnoloģijas. </w:t>
      </w:r>
    </w:p>
    <w:p w14:paraId="217FAB05" w14:textId="6E7E6F4D" w:rsidR="00D70C05" w:rsidRPr="004826D1" w:rsidRDefault="00857535" w:rsidP="00AD7919">
      <w:pPr>
        <w:spacing w:before="120" w:after="120"/>
        <w:rPr>
          <w:rFonts w:eastAsia="Calibri" w:cs="Times New Roman"/>
          <w:szCs w:val="24"/>
        </w:rPr>
      </w:pPr>
      <w:r>
        <w:rPr>
          <w:rFonts w:cs="Times New Roman"/>
          <w:color w:val="000000"/>
          <w:szCs w:val="24"/>
        </w:rPr>
        <w:t xml:space="preserve"> </w:t>
      </w:r>
    </w:p>
    <w:p w14:paraId="39D0B1FD" w14:textId="77777777" w:rsidR="008B6C3B" w:rsidRPr="004826D1" w:rsidRDefault="008B6C3B" w:rsidP="008B7590">
      <w:pPr>
        <w:jc w:val="both"/>
        <w:rPr>
          <w:rFonts w:cs="Times New Roman"/>
        </w:rPr>
      </w:pPr>
    </w:p>
    <w:p w14:paraId="16490237" w14:textId="77777777" w:rsidR="007E51A4" w:rsidRPr="004826D1" w:rsidRDefault="00D1636F" w:rsidP="007E51A4">
      <w:pPr>
        <w:pStyle w:val="Heading31"/>
        <w:rPr>
          <w:rFonts w:ascii="Times New Roman" w:hAnsi="Times New Roman"/>
          <w:lang w:val="lv-LV"/>
        </w:rPr>
      </w:pPr>
      <w:bookmarkStart w:id="40" w:name="_Toc169602233"/>
      <w:r w:rsidRPr="004826D1">
        <w:rPr>
          <w:rFonts w:ascii="Times New Roman" w:hAnsi="Times New Roman"/>
          <w:lang w:val="lv-LV"/>
        </w:rPr>
        <w:t>3.1.4</w:t>
      </w:r>
      <w:r w:rsidR="007E51A4" w:rsidRPr="004826D1">
        <w:rPr>
          <w:rFonts w:ascii="Times New Roman" w:hAnsi="Times New Roman"/>
          <w:lang w:val="lv-LV"/>
        </w:rPr>
        <w:t>.</w:t>
      </w:r>
      <w:r w:rsidR="007E51A4" w:rsidRPr="004826D1">
        <w:rPr>
          <w:rFonts w:ascii="Times New Roman" w:hAnsi="Times New Roman"/>
          <w:lang w:val="lv-LV"/>
        </w:rPr>
        <w:tab/>
        <w:t>Pārrobežu kontekstā svarīgie jautājumi</w:t>
      </w:r>
      <w:bookmarkEnd w:id="40"/>
    </w:p>
    <w:p w14:paraId="09E6C084" w14:textId="77777777" w:rsidR="00795495" w:rsidRPr="004826D1" w:rsidRDefault="00795495" w:rsidP="002559A1">
      <w:pPr>
        <w:jc w:val="both"/>
        <w:rPr>
          <w:rFonts w:cs="Times New Roman"/>
        </w:rPr>
      </w:pPr>
    </w:p>
    <w:p w14:paraId="747434D5" w14:textId="77777777" w:rsidR="007D075D" w:rsidRPr="004826D1" w:rsidRDefault="007D075D" w:rsidP="007D075D">
      <w:pPr>
        <w:spacing w:before="120" w:after="120"/>
        <w:jc w:val="both"/>
        <w:rPr>
          <w:rFonts w:cs="Times New Roman"/>
          <w:color w:val="000000"/>
          <w:szCs w:val="24"/>
        </w:rPr>
      </w:pPr>
      <w:r w:rsidRPr="004826D1">
        <w:rPr>
          <w:rFonts w:cs="Times New Roman"/>
          <w:color w:val="000000"/>
          <w:szCs w:val="24"/>
        </w:rPr>
        <w:t>Plāna kontekstā svarīgākie īstenotie pasākumi attiecas uz Baltijas enerģijas tirgus starpsavienojumiem un enerģētiskās drošības jautājumiem.</w:t>
      </w:r>
    </w:p>
    <w:p w14:paraId="291BC804" w14:textId="77777777" w:rsidR="007D075D" w:rsidRPr="004826D1" w:rsidRDefault="007D075D" w:rsidP="007D075D">
      <w:pPr>
        <w:spacing w:before="120" w:after="120"/>
        <w:jc w:val="both"/>
        <w:rPr>
          <w:rFonts w:cs="Times New Roman"/>
          <w:color w:val="000000"/>
          <w:szCs w:val="24"/>
        </w:rPr>
      </w:pPr>
      <w:r w:rsidRPr="004826D1">
        <w:rPr>
          <w:rFonts w:cs="Times New Roman"/>
          <w:color w:val="000000"/>
          <w:szCs w:val="24"/>
        </w:rPr>
        <w:t xml:space="preserve">Pārrobežu kontekstā ir arī svarīgi Baltijas valstu starpā saskaņot tādus pasākumus, kas ietekmē ne tikai infrastruktūru un elektroenerģijas savienojamību, bet arī energoresursu </w:t>
      </w:r>
      <w:bookmarkStart w:id="41" w:name="_Hlk520283543"/>
      <w:r w:rsidRPr="004826D1">
        <w:rPr>
          <w:rFonts w:cs="Times New Roman"/>
          <w:color w:val="000000"/>
          <w:szCs w:val="24"/>
        </w:rPr>
        <w:t>(gan fosilo energoresursu, gan biomasas un biodegvielas)</w:t>
      </w:r>
      <w:bookmarkEnd w:id="41"/>
      <w:r w:rsidRPr="004826D1">
        <w:rPr>
          <w:rFonts w:cs="Times New Roman"/>
          <w:color w:val="000000"/>
          <w:szCs w:val="24"/>
        </w:rPr>
        <w:t xml:space="preserve"> plūsmu starp Baltijas valstīm.</w:t>
      </w:r>
    </w:p>
    <w:p w14:paraId="29D50604" w14:textId="77777777" w:rsidR="007D075D" w:rsidRDefault="007D075D" w:rsidP="007D075D">
      <w:pPr>
        <w:spacing w:before="120" w:after="120"/>
        <w:jc w:val="both"/>
        <w:rPr>
          <w:rFonts w:cs="Times New Roman"/>
          <w:color w:val="000000"/>
          <w:szCs w:val="24"/>
        </w:rPr>
      </w:pPr>
      <w:r w:rsidRPr="004826D1">
        <w:rPr>
          <w:rFonts w:cs="Times New Roman"/>
          <w:color w:val="000000"/>
          <w:szCs w:val="24"/>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(2.lielākais ES dalībvalstīs) un ne-ETS darbību SEG emisiju apjomā dominē lauksaimniecības un transporta darbības,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Igaunijas. Tomēr visās trīs Baltijas valstīs transports ir viens no lielākajiem ne-ETS darbību SEG emisiju avotiem un līdz ar to būtu ieteicams veikt saskaņotas darbības tieši transporta</w:t>
      </w:r>
      <w:r w:rsidR="000F658A" w:rsidRPr="004826D1">
        <w:rPr>
          <w:rFonts w:cs="Times New Roman"/>
          <w:color w:val="000000"/>
          <w:szCs w:val="24"/>
        </w:rPr>
        <w:t xml:space="preserve"> sektora emisiju samazināšanai.</w:t>
      </w:r>
    </w:p>
    <w:p w14:paraId="6C5482A5" w14:textId="77777777" w:rsidR="009F67D7" w:rsidRPr="009F67D7" w:rsidRDefault="009F67D7" w:rsidP="009F67D7">
      <w:pPr>
        <w:spacing w:before="120" w:after="120"/>
        <w:jc w:val="both"/>
        <w:rPr>
          <w:rFonts w:cs="Times New Roman"/>
          <w:color w:val="000000"/>
          <w:szCs w:val="24"/>
        </w:rPr>
      </w:pPr>
      <w:r w:rsidRPr="009F67D7">
        <w:rPr>
          <w:rFonts w:cs="Times New Roman"/>
          <w:color w:val="000000"/>
          <w:szCs w:val="24"/>
        </w:rPr>
        <w:t>Rīcībpolitikām, to mērķiem un pasākumiem,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w:t>
      </w:r>
      <w:r>
        <w:rPr>
          <w:rFonts w:cs="Times New Roman"/>
          <w:color w:val="000000"/>
          <w:szCs w:val="24"/>
        </w:rPr>
        <w:t>i arī daudzām bentosa kopienām.</w:t>
      </w:r>
    </w:p>
    <w:p w14:paraId="0124E0D1" w14:textId="7E959CFD" w:rsidR="009F67D7" w:rsidRPr="004826D1" w:rsidRDefault="009F67D7" w:rsidP="009F67D7">
      <w:pPr>
        <w:spacing w:before="120" w:after="120"/>
        <w:jc w:val="both"/>
        <w:rPr>
          <w:rFonts w:cs="Times New Roman"/>
          <w:color w:val="000000"/>
          <w:szCs w:val="24"/>
        </w:rPr>
      </w:pPr>
      <w:r w:rsidRPr="009F67D7">
        <w:rPr>
          <w:rFonts w:cs="Times New Roman"/>
          <w:color w:val="000000"/>
          <w:szCs w:val="24"/>
        </w:rPr>
        <w:t>Turpinoties Baltijas valstu elektrotīklu sinhronizācijai ar kontinentālo Eiropas tīklu, Baltijas valstis tiks arvien vairāk integrētas Eiropas integrētajā elektroenerģijas tirgū. Paredzams, ka līdz ar sinhronizācijas projekta pabeigšanu, Baltijas valstis tiks atsaistītas no BRELL elektrotīkla. No pasākumiem, kas saistīti ar elektroenerģijas un gāzes infrastruktūras attīstības projektiem, sagaidāma tieša pārrobežu ietekme. Šī ietekme kopumā būs pozitīva enerģijas cenu un enerģijas tirgus integrācijas ziņā.</w:t>
      </w:r>
      <w:r w:rsidR="00857535">
        <w:rPr>
          <w:rFonts w:cs="Times New Roman"/>
          <w:color w:val="000000"/>
          <w:szCs w:val="24"/>
        </w:rPr>
        <w:t xml:space="preserve"> </w:t>
      </w:r>
      <w:r w:rsidRPr="009F67D7">
        <w:rPr>
          <w:rFonts w:cs="Times New Roman"/>
          <w:color w:val="000000"/>
          <w:szCs w:val="24"/>
        </w:rPr>
        <w:t>Turklāt nākotnes tehnoloģijas (enerģijas uzglabāšana, CCU, ūdeņradis u.c.) tiks meklētas Ziemeļvalstu un Baltijas sadarbībā.</w:t>
      </w:r>
    </w:p>
    <w:p w14:paraId="7ED1628D" w14:textId="77777777" w:rsidR="000F658A" w:rsidRPr="004826D1" w:rsidRDefault="000F658A" w:rsidP="007D075D">
      <w:pPr>
        <w:spacing w:before="120" w:after="120"/>
        <w:jc w:val="both"/>
        <w:rPr>
          <w:rFonts w:cs="Times New Roman"/>
          <w:color w:val="000000"/>
          <w:szCs w:val="24"/>
        </w:rPr>
      </w:pPr>
    </w:p>
    <w:p w14:paraId="41BEB701" w14:textId="77777777" w:rsidR="000F658A" w:rsidRPr="004826D1" w:rsidRDefault="000F658A" w:rsidP="000F658A">
      <w:pPr>
        <w:pStyle w:val="Heading31"/>
        <w:rPr>
          <w:rFonts w:ascii="Times New Roman" w:hAnsi="Times New Roman"/>
          <w:lang w:val="lv-LV"/>
        </w:rPr>
      </w:pPr>
      <w:bookmarkStart w:id="42" w:name="_Toc169602234"/>
      <w:r w:rsidRPr="004826D1">
        <w:rPr>
          <w:rFonts w:ascii="Times New Roman" w:hAnsi="Times New Roman"/>
          <w:lang w:val="lv-LV"/>
        </w:rPr>
        <w:t>3.1.</w:t>
      </w:r>
      <w:r w:rsidR="00D1636F" w:rsidRPr="004826D1">
        <w:rPr>
          <w:rFonts w:ascii="Times New Roman" w:hAnsi="Times New Roman"/>
          <w:lang w:val="lv-LV"/>
        </w:rPr>
        <w:t>5</w:t>
      </w:r>
      <w:r w:rsidRPr="004826D1">
        <w:rPr>
          <w:rFonts w:ascii="Times New Roman" w:hAnsi="Times New Roman"/>
          <w:lang w:val="lv-LV"/>
        </w:rPr>
        <w:t>.</w:t>
      </w:r>
      <w:r w:rsidRPr="004826D1">
        <w:rPr>
          <w:rFonts w:ascii="Times New Roman" w:hAnsi="Times New Roman"/>
          <w:lang w:val="lv-LV"/>
        </w:rPr>
        <w:tab/>
        <w:t>Nacionālo enerģētikas un klimata rīcībpolitiku īstenošanas administratīvā struktūra</w:t>
      </w:r>
      <w:bookmarkEnd w:id="42"/>
    </w:p>
    <w:p w14:paraId="4C7F8970" w14:textId="77777777" w:rsidR="000F658A" w:rsidRPr="004826D1" w:rsidRDefault="000F658A" w:rsidP="007D075D">
      <w:pPr>
        <w:spacing w:before="120" w:after="120"/>
        <w:jc w:val="both"/>
        <w:rPr>
          <w:rFonts w:cs="Times New Roman"/>
          <w:color w:val="000000"/>
          <w:szCs w:val="24"/>
        </w:rPr>
      </w:pPr>
    </w:p>
    <w:p w14:paraId="53C872FD" w14:textId="77777777" w:rsidR="007D075D" w:rsidRPr="004826D1" w:rsidRDefault="007D075D" w:rsidP="007D075D">
      <w:pPr>
        <w:spacing w:before="120" w:after="120"/>
        <w:jc w:val="both"/>
        <w:rPr>
          <w:rFonts w:cs="Times New Roman"/>
          <w:szCs w:val="24"/>
        </w:rPr>
      </w:pPr>
      <w:r w:rsidRPr="004826D1">
        <w:rPr>
          <w:rFonts w:cs="Times New Roman"/>
          <w:szCs w:val="24"/>
        </w:rPr>
        <w:t>Nozaru ministriju kompetences tiek atrunātas ministriju nolikumos, kas tiek apstiprināti Ministru kabinetā (kā Ministru kabineta noteikumi).</w:t>
      </w:r>
    </w:p>
    <w:p w14:paraId="4BF043ED" w14:textId="77777777" w:rsidR="007D075D" w:rsidRPr="004826D1" w:rsidRDefault="007D075D" w:rsidP="007D075D">
      <w:pPr>
        <w:spacing w:before="120" w:after="120"/>
        <w:jc w:val="both"/>
        <w:rPr>
          <w:rFonts w:cs="Times New Roman"/>
          <w:szCs w:val="24"/>
        </w:rPr>
      </w:pPr>
      <w:r w:rsidRPr="004826D1">
        <w:rPr>
          <w:rFonts w:cs="Times New Roman"/>
          <w:szCs w:val="24"/>
        </w:rPr>
        <w:lastRenderedPageBreak/>
        <w:t>AER izmantošanas, energoefektivitātes veicināšanas kā arī enerģētiskās drošības un iekšējā enerģijas tirgus politikas izstrāde kopumā ir EM kompetence. SEG emisiju samazināšanas t.sk. CO</w:t>
      </w:r>
      <w:r w:rsidRPr="004826D1">
        <w:rPr>
          <w:rFonts w:cs="Times New Roman"/>
          <w:szCs w:val="24"/>
          <w:vertAlign w:val="subscript"/>
        </w:rPr>
        <w:t>2</w:t>
      </w:r>
      <w:r w:rsidRPr="004826D1">
        <w:rPr>
          <w:rFonts w:cs="Times New Roman"/>
          <w:szCs w:val="24"/>
        </w:rPr>
        <w:t>, apjoma nodrošināšanai politiku izstrādā VARAM. Savukārt izglītības un zinātnes jomā kompetentā iestāde Latvijā ir IZM, bet inovāciju un konkurētspējas jautājumi ir EM un VARAM kompetencē.</w:t>
      </w:r>
    </w:p>
    <w:p w14:paraId="5B6ACA24" w14:textId="77777777" w:rsidR="00EC5ADD" w:rsidRPr="004826D1" w:rsidRDefault="00EC5ADD" w:rsidP="002559A1">
      <w:pPr>
        <w:jc w:val="both"/>
        <w:rPr>
          <w:rFonts w:cs="Times New Roman"/>
          <w:lang w:eastAsia="en-GB"/>
        </w:rPr>
      </w:pPr>
    </w:p>
    <w:p w14:paraId="2AD9A843" w14:textId="77777777" w:rsidR="00667004" w:rsidRPr="004826D1" w:rsidRDefault="00667004" w:rsidP="002559A1">
      <w:pPr>
        <w:jc w:val="both"/>
        <w:rPr>
          <w:rFonts w:cs="Times New Roman"/>
          <w:lang w:eastAsia="en-GB"/>
        </w:rPr>
      </w:pPr>
    </w:p>
    <w:p w14:paraId="7B18DC5E" w14:textId="77777777" w:rsidR="00210E13" w:rsidRPr="004826D1" w:rsidRDefault="00EC5ADD" w:rsidP="00A24649">
      <w:pPr>
        <w:pStyle w:val="Heading2"/>
        <w:jc w:val="both"/>
        <w:rPr>
          <w:lang w:val="lv-LV"/>
        </w:rPr>
      </w:pPr>
      <w:bookmarkStart w:id="43" w:name="_Toc169602235"/>
      <w:r w:rsidRPr="004826D1">
        <w:rPr>
          <w:rFonts w:ascii="Times New Roman" w:hAnsi="Times New Roman"/>
          <w:lang w:val="lv-LV"/>
        </w:rPr>
        <w:t xml:space="preserve">3.2 </w:t>
      </w:r>
      <w:r w:rsidR="00667004" w:rsidRPr="004826D1">
        <w:rPr>
          <w:rFonts w:ascii="Times New Roman" w:hAnsi="Times New Roman"/>
          <w:lang w:val="lv-LV"/>
        </w:rPr>
        <w:t xml:space="preserve">Plāna </w:t>
      </w:r>
      <w:r w:rsidR="001206B9" w:rsidRPr="004826D1">
        <w:rPr>
          <w:rFonts w:ascii="Times New Roman" w:hAnsi="Times New Roman"/>
          <w:lang w:val="lv-LV"/>
        </w:rPr>
        <w:t xml:space="preserve">mērķis, </w:t>
      </w:r>
      <w:r w:rsidR="00160F8E" w:rsidRPr="004826D1">
        <w:rPr>
          <w:rFonts w:ascii="Times New Roman" w:hAnsi="Times New Roman"/>
          <w:lang w:val="lv-LV"/>
        </w:rPr>
        <w:t>rīcībpolitikas un pasākumi</w:t>
      </w:r>
      <w:bookmarkEnd w:id="43"/>
    </w:p>
    <w:p w14:paraId="03CAEDAD" w14:textId="77777777" w:rsidR="00E70E65" w:rsidRPr="004826D1" w:rsidRDefault="00E70E65" w:rsidP="00E70E65">
      <w:pPr>
        <w:pStyle w:val="Heading31"/>
        <w:rPr>
          <w:rFonts w:ascii="Times New Roman" w:hAnsi="Times New Roman"/>
          <w:lang w:val="lv-LV"/>
        </w:rPr>
      </w:pPr>
    </w:p>
    <w:p w14:paraId="1B0CAC23" w14:textId="77777777" w:rsidR="00E70E65" w:rsidRPr="004826D1" w:rsidRDefault="00E70E65" w:rsidP="00E70E65">
      <w:pPr>
        <w:pStyle w:val="Heading31"/>
        <w:rPr>
          <w:rFonts w:ascii="Times New Roman" w:hAnsi="Times New Roman"/>
          <w:lang w:val="lv-LV"/>
        </w:rPr>
      </w:pPr>
      <w:bookmarkStart w:id="44" w:name="_Toc169602236"/>
      <w:r w:rsidRPr="004826D1">
        <w:rPr>
          <w:rFonts w:ascii="Times New Roman" w:hAnsi="Times New Roman"/>
          <w:lang w:val="lv-LV"/>
        </w:rPr>
        <w:t>3.2.1.</w:t>
      </w:r>
      <w:r w:rsidRPr="004826D1">
        <w:rPr>
          <w:rFonts w:ascii="Times New Roman" w:hAnsi="Times New Roman"/>
          <w:lang w:val="lv-LV"/>
        </w:rPr>
        <w:tab/>
        <w:t>Plāna mērķ</w:t>
      </w:r>
      <w:r w:rsidR="003F3787" w:rsidRPr="004826D1">
        <w:rPr>
          <w:rFonts w:ascii="Times New Roman" w:hAnsi="Times New Roman"/>
          <w:lang w:val="lv-LV"/>
        </w:rPr>
        <w:t>a un tā</w:t>
      </w:r>
      <w:r w:rsidRPr="004826D1">
        <w:rPr>
          <w:rFonts w:ascii="Times New Roman" w:hAnsi="Times New Roman"/>
          <w:lang w:val="lv-LV"/>
        </w:rPr>
        <w:t xml:space="preserve"> sasniegšanas kopsavilkums</w:t>
      </w:r>
      <w:bookmarkEnd w:id="44"/>
    </w:p>
    <w:p w14:paraId="50348D96" w14:textId="77777777" w:rsidR="00D23E39" w:rsidRPr="007A6B93" w:rsidRDefault="00D23E39" w:rsidP="00D23E39">
      <w:pPr>
        <w:spacing w:before="120" w:after="120"/>
        <w:jc w:val="both"/>
        <w:rPr>
          <w:szCs w:val="24"/>
        </w:rPr>
      </w:pPr>
      <w:bookmarkStart w:id="45" w:name="_Hlk21087238"/>
      <w:bookmarkStart w:id="46" w:name="_Hlk25672905"/>
      <w:r w:rsidRPr="007A6B93">
        <w:rPr>
          <w:szCs w:val="24"/>
        </w:rPr>
        <w:t xml:space="preserve">Plāna ilgtermiņa mērķis ir, </w:t>
      </w:r>
      <w:r w:rsidRPr="007A6B93">
        <w:rPr>
          <w:b/>
          <w:bCs/>
          <w:szCs w:val="24"/>
        </w:rPr>
        <w:t>uzlabojot</w:t>
      </w:r>
      <w:r w:rsidRPr="007A6B93">
        <w:rPr>
          <w:b/>
          <w:szCs w:val="24"/>
        </w:rPr>
        <w:t xml:space="preserve"> </w:t>
      </w:r>
      <w:r w:rsidRPr="007A6B93">
        <w:rPr>
          <w:b/>
          <w:bCs/>
          <w:szCs w:val="24"/>
        </w:rPr>
        <w:t>enerģētisko drošību un sabiedrības labklājību, ilgtspējīgā, konkurētspējīgā, izmaksu efektīvā, drošā un uz tirgus principiem balstītā veidā veicināt klimatneitrālas tautsaimniecības attīstību</w:t>
      </w:r>
      <w:r w:rsidRPr="007A6B93">
        <w:rPr>
          <w:b/>
          <w:szCs w:val="24"/>
        </w:rPr>
        <w:t>.</w:t>
      </w:r>
      <w:r w:rsidRPr="007A6B93">
        <w:rPr>
          <w:szCs w:val="24"/>
        </w:rPr>
        <w:t xml:space="preserve"> </w:t>
      </w:r>
    </w:p>
    <w:bookmarkEnd w:id="45"/>
    <w:p w14:paraId="0B28894A" w14:textId="478DC13E" w:rsidR="00666770" w:rsidRPr="007A6B93" w:rsidRDefault="00666770" w:rsidP="00666770">
      <w:pPr>
        <w:spacing w:before="120" w:after="120"/>
        <w:jc w:val="both"/>
        <w:rPr>
          <w:rFonts w:cs="Times New Roman"/>
          <w:szCs w:val="24"/>
        </w:rPr>
      </w:pPr>
      <w:r w:rsidRPr="007A6B93">
        <w:rPr>
          <w:rFonts w:cs="Times New Roman"/>
          <w:szCs w:val="24"/>
        </w:rPr>
        <w:t>Vides aspektā Plāna galvenais mērķis (t.s. “Dimensija I”) ir dekarbonizācija un atjaunojamo energoresursu (AE) izmantošana, kas būtībā arī ir dekarbonizācijas līdzeklis. Šo mērķu</w:t>
      </w:r>
      <w:r w:rsidR="00857535">
        <w:rPr>
          <w:rFonts w:cs="Times New Roman"/>
          <w:szCs w:val="24"/>
        </w:rPr>
        <w:t xml:space="preserve"> </w:t>
      </w:r>
      <w:r w:rsidRPr="007A6B93">
        <w:rPr>
          <w:rFonts w:cs="Times New Roman"/>
          <w:szCs w:val="24"/>
        </w:rPr>
        <w:t xml:space="preserve">raksturojums līdz 2025. un 2030. gadam dots </w:t>
      </w:r>
      <w:r>
        <w:rPr>
          <w:rFonts w:cs="Times New Roman"/>
          <w:szCs w:val="24"/>
        </w:rPr>
        <w:t>3.</w:t>
      </w:r>
      <w:r w:rsidRPr="007A6B93">
        <w:rPr>
          <w:rFonts w:cs="Times New Roman"/>
          <w:szCs w:val="24"/>
        </w:rPr>
        <w:t>1. tabulā.</w:t>
      </w:r>
    </w:p>
    <w:p w14:paraId="2D278E89" w14:textId="77777777" w:rsidR="00D23E39" w:rsidRPr="007A6B93" w:rsidRDefault="00D23E39" w:rsidP="00D23E39">
      <w:pPr>
        <w:spacing w:before="120" w:after="120"/>
        <w:jc w:val="both"/>
        <w:rPr>
          <w:b/>
          <w:szCs w:val="24"/>
        </w:rPr>
      </w:pPr>
      <w:r w:rsidRPr="007A6B93">
        <w:rPr>
          <w:b/>
          <w:szCs w:val="24"/>
        </w:rPr>
        <w:t>Lai īstenotu mērķi ir nepieciešams:</w:t>
      </w:r>
    </w:p>
    <w:p w14:paraId="6193EF84"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Veicināt resursu efektīvu izmantošanu, kā arī to pašpietiekamību un dažādību;</w:t>
      </w:r>
    </w:p>
    <w:p w14:paraId="03587B51" w14:textId="12D3E11A"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Nodrošināt</w:t>
      </w:r>
      <w:r w:rsidR="00857535">
        <w:rPr>
          <w:sz w:val="24"/>
          <w:szCs w:val="24"/>
        </w:rPr>
        <w:t xml:space="preserve"> </w:t>
      </w:r>
      <w:r w:rsidRPr="007A6B93">
        <w:rPr>
          <w:sz w:val="24"/>
          <w:szCs w:val="24"/>
        </w:rPr>
        <w:t>resursu, un it īpaši fosilu un neilgtspējīgu resursu, patēriņa būtisku samazināšanu un vienlaicīgu pāreju uz ilgtspējīgu, atjaunojamu un inovatīvu resursu izmantošanu, nodrošinot vienlīdzīgu pieeju energoresursiem visām sabiedrības grupām;</w:t>
      </w:r>
    </w:p>
    <w:p w14:paraId="747F762A"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 xml:space="preserve">Stimulēt tādas pētniecības un inovāciju attīstību, kas veicina ilgtspējīgas enerģētikas sektora attīstību un klimata pārmaiņu mazināšanu. </w:t>
      </w:r>
    </w:p>
    <w:bookmarkEnd w:id="46"/>
    <w:p w14:paraId="58E51BBF" w14:textId="77777777" w:rsidR="009D6A91" w:rsidRPr="00C263F0" w:rsidRDefault="009D6A91" w:rsidP="009D6A91">
      <w:pPr>
        <w:spacing w:before="120" w:after="120"/>
        <w:jc w:val="both"/>
        <w:rPr>
          <w:rFonts w:cs="Times New Roman"/>
          <w:szCs w:val="24"/>
        </w:rPr>
      </w:pPr>
    </w:p>
    <w:p w14:paraId="68665D34" w14:textId="77777777" w:rsidR="009D6A91" w:rsidRPr="00C263F0" w:rsidRDefault="00BA1A52" w:rsidP="009D6A91">
      <w:pPr>
        <w:spacing w:before="120" w:after="120"/>
        <w:jc w:val="both"/>
        <w:rPr>
          <w:rFonts w:cs="Times New Roman"/>
          <w:b/>
          <w:szCs w:val="24"/>
        </w:rPr>
      </w:pPr>
      <w:r w:rsidRPr="00C263F0">
        <w:rPr>
          <w:rFonts w:cs="Times New Roman"/>
          <w:b/>
          <w:szCs w:val="24"/>
        </w:rPr>
        <w:t>3.</w:t>
      </w:r>
      <w:r w:rsidR="009D6A91" w:rsidRPr="00C263F0">
        <w:rPr>
          <w:rFonts w:cs="Times New Roman"/>
          <w:b/>
          <w:szCs w:val="24"/>
        </w:rPr>
        <w:t>1. tabula. Mērķi un to izpildes novērtējums. Dimensija I: Dekarbonizācija un AE</w:t>
      </w:r>
    </w:p>
    <w:tbl>
      <w:tblPr>
        <w:tblW w:w="1048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474"/>
        <w:gridCol w:w="1035"/>
        <w:gridCol w:w="1246"/>
        <w:gridCol w:w="1635"/>
        <w:gridCol w:w="1815"/>
        <w:gridCol w:w="878"/>
      </w:tblGrid>
      <w:tr w:rsidR="00617535" w:rsidRPr="004826D1" w14:paraId="7AC322A1" w14:textId="77777777" w:rsidTr="00617535">
        <w:trPr>
          <w:trHeight w:val="284"/>
          <w:tblHeader/>
          <w:jc w:val="center"/>
        </w:trPr>
        <w:tc>
          <w:tcPr>
            <w:tcW w:w="2404" w:type="dxa"/>
            <w:vMerge w:val="restart"/>
            <w:shd w:val="clear" w:color="auto" w:fill="948A54"/>
            <w:tcMar>
              <w:left w:w="28" w:type="dxa"/>
              <w:right w:w="28" w:type="dxa"/>
            </w:tcMar>
            <w:vAlign w:val="center"/>
          </w:tcPr>
          <w:p w14:paraId="3A128688"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Mērķis</w:t>
            </w:r>
          </w:p>
        </w:tc>
        <w:tc>
          <w:tcPr>
            <w:tcW w:w="2509" w:type="dxa"/>
            <w:gridSpan w:val="2"/>
            <w:shd w:val="clear" w:color="auto" w:fill="948A54"/>
            <w:tcMar>
              <w:left w:w="28" w:type="dxa"/>
              <w:right w:w="28" w:type="dxa"/>
            </w:tcMar>
            <w:vAlign w:val="center"/>
          </w:tcPr>
          <w:p w14:paraId="73BFE5CC"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Faktiskā</w:t>
            </w:r>
          </w:p>
          <w:p w14:paraId="23DFAD82"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vērtība</w:t>
            </w:r>
          </w:p>
        </w:tc>
        <w:tc>
          <w:tcPr>
            <w:tcW w:w="2881" w:type="dxa"/>
            <w:gridSpan w:val="2"/>
            <w:shd w:val="clear" w:color="auto" w:fill="948A54"/>
            <w:tcMar>
              <w:left w:w="28" w:type="dxa"/>
              <w:right w:w="28" w:type="dxa"/>
            </w:tcMar>
            <w:vAlign w:val="center"/>
          </w:tcPr>
          <w:p w14:paraId="57102B5E"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Prognozētās vērtības</w:t>
            </w:r>
          </w:p>
          <w:p w14:paraId="225C9881"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2030</w:t>
            </w:r>
          </w:p>
        </w:tc>
        <w:tc>
          <w:tcPr>
            <w:tcW w:w="2693" w:type="dxa"/>
            <w:gridSpan w:val="2"/>
            <w:shd w:val="clear" w:color="auto" w:fill="948A54"/>
            <w:tcMar>
              <w:left w:w="28" w:type="dxa"/>
              <w:right w:w="28" w:type="dxa"/>
            </w:tcMar>
            <w:vAlign w:val="center"/>
          </w:tcPr>
          <w:p w14:paraId="55536128"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Mērķa vērtība</w:t>
            </w:r>
          </w:p>
        </w:tc>
      </w:tr>
      <w:tr w:rsidR="00617535" w:rsidRPr="004826D1" w14:paraId="2A0E1081" w14:textId="77777777" w:rsidTr="00617535">
        <w:trPr>
          <w:trHeight w:val="380"/>
          <w:tblHeader/>
          <w:jc w:val="center"/>
        </w:trPr>
        <w:tc>
          <w:tcPr>
            <w:tcW w:w="2404" w:type="dxa"/>
            <w:vMerge/>
            <w:vAlign w:val="center"/>
          </w:tcPr>
          <w:p w14:paraId="2B14784B" w14:textId="77777777" w:rsidR="00617535" w:rsidRPr="004826D1" w:rsidRDefault="00617535" w:rsidP="00617535">
            <w:pPr>
              <w:jc w:val="center"/>
              <w:rPr>
                <w:rFonts w:cs="Times New Roman"/>
                <w:b/>
                <w:color w:val="FFFFFF"/>
                <w:sz w:val="22"/>
                <w:szCs w:val="22"/>
              </w:rPr>
            </w:pPr>
          </w:p>
        </w:tc>
        <w:tc>
          <w:tcPr>
            <w:tcW w:w="1474" w:type="dxa"/>
            <w:shd w:val="clear" w:color="auto" w:fill="948A54"/>
            <w:vAlign w:val="center"/>
          </w:tcPr>
          <w:p w14:paraId="4B57AE30" w14:textId="77777777" w:rsidR="00617535" w:rsidRPr="004826D1" w:rsidRDefault="00617535" w:rsidP="00617535">
            <w:pPr>
              <w:jc w:val="center"/>
              <w:rPr>
                <w:rFonts w:cs="Times New Roman"/>
                <w:color w:val="FFFFFF"/>
                <w:sz w:val="22"/>
                <w:szCs w:val="22"/>
                <w:lang w:eastAsia="lv-LV"/>
              </w:rPr>
            </w:pPr>
            <w:r w:rsidRPr="004826D1">
              <w:rPr>
                <w:rFonts w:cs="Times New Roman"/>
                <w:b/>
                <w:bCs/>
                <w:color w:val="FFFFFF"/>
                <w:sz w:val="22"/>
                <w:szCs w:val="22"/>
              </w:rPr>
              <w:t>2021</w:t>
            </w:r>
          </w:p>
        </w:tc>
        <w:tc>
          <w:tcPr>
            <w:tcW w:w="1035" w:type="dxa"/>
            <w:shd w:val="clear" w:color="auto" w:fill="948A54"/>
            <w:vAlign w:val="center"/>
          </w:tcPr>
          <w:p w14:paraId="7DC23236" w14:textId="77777777" w:rsidR="00617535" w:rsidRPr="004826D1" w:rsidRDefault="00617535" w:rsidP="00617535">
            <w:pPr>
              <w:jc w:val="center"/>
              <w:rPr>
                <w:rFonts w:cs="Times New Roman"/>
                <w:b/>
                <w:bCs/>
                <w:color w:val="FFFFFF"/>
                <w:sz w:val="22"/>
                <w:szCs w:val="22"/>
              </w:rPr>
            </w:pPr>
            <w:r w:rsidRPr="004826D1">
              <w:rPr>
                <w:rFonts w:cs="Times New Roman"/>
                <w:b/>
                <w:color w:val="FFFFFF"/>
                <w:sz w:val="22"/>
                <w:szCs w:val="22"/>
              </w:rPr>
              <w:t>2022</w:t>
            </w:r>
          </w:p>
        </w:tc>
        <w:tc>
          <w:tcPr>
            <w:tcW w:w="1246" w:type="dxa"/>
            <w:shd w:val="clear" w:color="auto" w:fill="948A54"/>
            <w:vAlign w:val="center"/>
          </w:tcPr>
          <w:p w14:paraId="1E0D4C76"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Bāzes scenārijs</w:t>
            </w:r>
          </w:p>
        </w:tc>
        <w:tc>
          <w:tcPr>
            <w:tcW w:w="1635" w:type="dxa"/>
            <w:shd w:val="clear" w:color="auto" w:fill="948A54"/>
            <w:vAlign w:val="center"/>
          </w:tcPr>
          <w:p w14:paraId="7F3B14A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Mērķu</w:t>
            </w:r>
          </w:p>
          <w:p w14:paraId="1894E11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scenārijs</w:t>
            </w:r>
          </w:p>
        </w:tc>
        <w:tc>
          <w:tcPr>
            <w:tcW w:w="1815" w:type="dxa"/>
            <w:shd w:val="clear" w:color="auto" w:fill="948A54"/>
            <w:vAlign w:val="center"/>
          </w:tcPr>
          <w:p w14:paraId="228C7B63"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2025</w:t>
            </w:r>
          </w:p>
        </w:tc>
        <w:tc>
          <w:tcPr>
            <w:tcW w:w="878" w:type="dxa"/>
            <w:shd w:val="clear" w:color="auto" w:fill="948A54"/>
            <w:vAlign w:val="center"/>
          </w:tcPr>
          <w:p w14:paraId="02664FBF"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2030</w:t>
            </w:r>
          </w:p>
        </w:tc>
      </w:tr>
      <w:tr w:rsidR="00617535" w:rsidRPr="004826D1" w14:paraId="111D23E0"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789BEE98" w14:textId="7EB84871" w:rsidR="00617535" w:rsidRPr="004826D1" w:rsidRDefault="00617535" w:rsidP="00617535">
            <w:pPr>
              <w:jc w:val="center"/>
              <w:rPr>
                <w:rFonts w:cs="Times New Roman"/>
                <w:i/>
                <w:iCs/>
                <w:color w:val="000000"/>
                <w:sz w:val="22"/>
                <w:szCs w:val="22"/>
              </w:rPr>
            </w:pPr>
            <w:r w:rsidRPr="004826D1">
              <w:rPr>
                <w:rFonts w:cs="Times New Roman"/>
                <w:i/>
                <w:iCs/>
                <w:color w:val="000000"/>
                <w:sz w:val="22"/>
                <w:szCs w:val="22"/>
              </w:rPr>
              <w:t>I SEG emisiju</w:t>
            </w:r>
            <w:r w:rsidR="00857535">
              <w:rPr>
                <w:rFonts w:cs="Times New Roman"/>
                <w:i/>
                <w:iCs/>
                <w:color w:val="000000"/>
                <w:sz w:val="22"/>
                <w:szCs w:val="22"/>
              </w:rPr>
              <w:t xml:space="preserve"> </w:t>
            </w:r>
            <w:r w:rsidRPr="004826D1">
              <w:rPr>
                <w:rFonts w:cs="Times New Roman"/>
                <w:i/>
                <w:iCs/>
                <w:color w:val="000000"/>
                <w:sz w:val="22"/>
                <w:szCs w:val="22"/>
              </w:rPr>
              <w:t>samazināšanas mērķi</w:t>
            </w:r>
          </w:p>
        </w:tc>
      </w:tr>
      <w:tr w:rsidR="00617535" w:rsidRPr="004826D1" w14:paraId="67F135B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25F5F62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Kopējais SEG emisiju mērķis un vērtības</w:t>
            </w:r>
          </w:p>
        </w:tc>
      </w:tr>
      <w:tr w:rsidR="00617535" w:rsidRPr="004826D1" w14:paraId="65F9AA7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A5CD59"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pret 1990.g.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C3A77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r w:rsidRPr="004826D1">
              <w:rPr>
                <w:rFonts w:cs="Times New Roman"/>
                <w:sz w:val="22"/>
                <w:szCs w:val="22"/>
              </w:rPr>
              <w:t>58,8</w:t>
            </w:r>
          </w:p>
        </w:tc>
        <w:tc>
          <w:tcPr>
            <w:tcW w:w="1035" w:type="dxa"/>
            <w:tcBorders>
              <w:top w:val="single" w:sz="2" w:space="0" w:color="auto"/>
              <w:left w:val="single" w:sz="2" w:space="0" w:color="auto"/>
              <w:bottom w:val="single" w:sz="2" w:space="0" w:color="auto"/>
              <w:right w:val="single" w:sz="2" w:space="0" w:color="auto"/>
            </w:tcBorders>
          </w:tcPr>
          <w:p w14:paraId="76FBB1A1"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30DA58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-65,1</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4392B4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-67,8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6E3485D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000B3A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w:t>
            </w:r>
          </w:p>
        </w:tc>
      </w:tr>
      <w:tr w:rsidR="00617535" w:rsidRPr="004826D1" w14:paraId="44DE735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360DA77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 xml:space="preserve">Kopējais ne-ETS darbību SEG emisiju mērķis un </w:t>
            </w:r>
            <w:r w:rsidRPr="004826D1">
              <w:rPr>
                <w:rFonts w:cs="Times New Roman"/>
                <w:i/>
                <w:iCs/>
                <w:color w:val="000000"/>
                <w:sz w:val="22"/>
                <w:szCs w:val="22"/>
              </w:rPr>
              <w:t>apjoms</w:t>
            </w:r>
          </w:p>
        </w:tc>
      </w:tr>
      <w:tr w:rsidR="00617535" w:rsidRPr="004826D1" w14:paraId="6A6D329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FAEAA1" w14:textId="112BB1FB" w:rsidR="00617535" w:rsidRPr="004826D1" w:rsidRDefault="00857535" w:rsidP="00617535">
            <w:pPr>
              <w:ind w:right="284"/>
              <w:rPr>
                <w:rFonts w:cs="Times New Roman"/>
                <w:color w:val="000000"/>
                <w:sz w:val="22"/>
                <w:szCs w:val="22"/>
              </w:rPr>
            </w:pPr>
            <w:r>
              <w:rPr>
                <w:rFonts w:cs="Times New Roman"/>
                <w:color w:val="000000"/>
                <w:sz w:val="22"/>
                <w:szCs w:val="22"/>
              </w:rPr>
              <w:t xml:space="preserve"> </w:t>
            </w:r>
            <w:r w:rsidR="00617535" w:rsidRPr="004826D1">
              <w:rPr>
                <w:rFonts w:cs="Times New Roman"/>
                <w:color w:val="000000"/>
                <w:sz w:val="22"/>
                <w:szCs w:val="22"/>
              </w:rPr>
              <w:t>% pret</w:t>
            </w:r>
            <w:r>
              <w:rPr>
                <w:rFonts w:cs="Times New Roman"/>
                <w:color w:val="000000"/>
                <w:sz w:val="22"/>
                <w:szCs w:val="22"/>
              </w:rPr>
              <w:t xml:space="preserve"> </w:t>
            </w:r>
            <w:r w:rsidR="00617535" w:rsidRPr="004826D1">
              <w:rPr>
                <w:rFonts w:cs="Times New Roman"/>
                <w:color w:val="000000"/>
                <w:sz w:val="22"/>
                <w:szCs w:val="22"/>
              </w:rPr>
              <w:t>2005.g.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907F429" w14:textId="77777777" w:rsidR="00617535" w:rsidRPr="004826D1" w:rsidRDefault="00617535" w:rsidP="00617535">
            <w:pPr>
              <w:jc w:val="center"/>
              <w:rPr>
                <w:rFonts w:cs="Times New Roman"/>
                <w:sz w:val="22"/>
                <w:szCs w:val="22"/>
              </w:rPr>
            </w:pPr>
            <w:r w:rsidRPr="004826D1">
              <w:rPr>
                <w:rFonts w:cs="Times New Roman"/>
                <w:sz w:val="22"/>
                <w:szCs w:val="22"/>
              </w:rPr>
              <w:t>1,0</w:t>
            </w:r>
          </w:p>
        </w:tc>
        <w:tc>
          <w:tcPr>
            <w:tcW w:w="1035" w:type="dxa"/>
            <w:tcBorders>
              <w:top w:val="single" w:sz="2" w:space="0" w:color="auto"/>
              <w:left w:val="single" w:sz="2" w:space="0" w:color="auto"/>
              <w:bottom w:val="single" w:sz="2" w:space="0" w:color="auto"/>
              <w:right w:val="single" w:sz="2" w:space="0" w:color="auto"/>
            </w:tcBorders>
            <w:shd w:val="clear" w:color="auto" w:fill="auto"/>
          </w:tcPr>
          <w:p w14:paraId="512EA24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51498C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234A32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-18,8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3863680E" w14:textId="77777777" w:rsidR="00617535" w:rsidRPr="004826D1" w:rsidRDefault="00617535" w:rsidP="00617535">
            <w:pPr>
              <w:jc w:val="center"/>
              <w:rPr>
                <w:rFonts w:cs="Times New Roman"/>
                <w:color w:val="000000"/>
                <w:sz w:val="22"/>
                <w:szCs w:val="22"/>
              </w:rPr>
            </w:pP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9BC1F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-17</w:t>
            </w:r>
          </w:p>
        </w:tc>
      </w:tr>
      <w:tr w:rsidR="00617535" w:rsidRPr="004826D1" w14:paraId="12973DE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3BA3F9"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kt CO</w:t>
            </w:r>
            <w:r w:rsidRPr="004826D1">
              <w:rPr>
                <w:rFonts w:cs="Times New Roman"/>
                <w:color w:val="000000"/>
                <w:sz w:val="22"/>
                <w:szCs w:val="22"/>
                <w:vertAlign w:val="subscript"/>
              </w:rPr>
              <w:t>2</w:t>
            </w:r>
            <w:r w:rsidRPr="004826D1">
              <w:rPr>
                <w:rFonts w:cs="Times New Roman"/>
                <w:color w:val="000000"/>
                <w:sz w:val="22"/>
                <w:szCs w:val="22"/>
              </w:rPr>
              <w:t xml:space="preserve"> ekv.</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D0E79B9" w14:textId="77777777" w:rsidR="00617535" w:rsidRPr="004826D1" w:rsidRDefault="00617535" w:rsidP="00617535">
            <w:pPr>
              <w:jc w:val="center"/>
              <w:rPr>
                <w:rFonts w:eastAsia="Cambria" w:cs="Times New Roman"/>
                <w:sz w:val="22"/>
                <w:szCs w:val="22"/>
              </w:rPr>
            </w:pPr>
            <w:r w:rsidRPr="004826D1">
              <w:rPr>
                <w:rFonts w:cs="Times New Roman"/>
                <w:sz w:val="22"/>
                <w:szCs w:val="22"/>
              </w:rPr>
              <w:t xml:space="preserve">8 </w:t>
            </w:r>
            <w:r w:rsidRPr="004826D1">
              <w:rPr>
                <w:rFonts w:eastAsia="Cambria" w:cs="Times New Roman"/>
                <w:sz w:val="22"/>
                <w:szCs w:val="22"/>
              </w:rPr>
              <w:t>680</w:t>
            </w:r>
          </w:p>
        </w:tc>
        <w:tc>
          <w:tcPr>
            <w:tcW w:w="1035" w:type="dxa"/>
            <w:tcBorders>
              <w:top w:val="single" w:sz="2" w:space="0" w:color="auto"/>
              <w:left w:val="single" w:sz="2" w:space="0" w:color="auto"/>
              <w:bottom w:val="single" w:sz="2" w:space="0" w:color="auto"/>
              <w:right w:val="single" w:sz="2" w:space="0" w:color="auto"/>
            </w:tcBorders>
            <w:vAlign w:val="center"/>
          </w:tcPr>
          <w:p w14:paraId="0F60883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55C5C7"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7 698</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910E14"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6 982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5D5E43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8 210</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1E33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7 136</w:t>
            </w:r>
          </w:p>
        </w:tc>
      </w:tr>
      <w:tr w:rsidR="00617535" w:rsidRPr="004826D1" w14:paraId="6EF6643C"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4F2F91BA" w14:textId="77777777" w:rsidR="00617535" w:rsidRPr="004826D1" w:rsidRDefault="00617535" w:rsidP="00617535">
            <w:pPr>
              <w:jc w:val="both"/>
              <w:rPr>
                <w:rFonts w:cs="Times New Roman"/>
                <w:i/>
                <w:iCs/>
                <w:color w:val="000000"/>
                <w:sz w:val="22"/>
                <w:szCs w:val="22"/>
              </w:rPr>
            </w:pPr>
            <w:r w:rsidRPr="004826D1">
              <w:rPr>
                <w:rFonts w:cs="Times New Roman"/>
                <w:i/>
                <w:iCs/>
                <w:color w:val="000000"/>
                <w:sz w:val="22"/>
                <w:szCs w:val="22"/>
              </w:rPr>
              <w:t>Sektorālie ne-ETS darbību SEG emisiju mērķi un apjomi (% pret 2005.g.)</w:t>
            </w:r>
          </w:p>
        </w:tc>
      </w:tr>
      <w:tr w:rsidR="00617535" w:rsidRPr="004826D1" w14:paraId="6FDFBF61"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703F9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xml:space="preserve">Enerģētika </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6437B8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75E80DB7"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630D7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09060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E38BB9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817E8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-27</w:t>
            </w:r>
          </w:p>
        </w:tc>
      </w:tr>
      <w:tr w:rsidR="00617535" w:rsidRPr="004826D1" w14:paraId="65A819B4"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DF13C"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Transports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DC7486" w14:textId="77777777" w:rsidR="00617535" w:rsidRPr="004826D1" w:rsidRDefault="00617535" w:rsidP="00617535">
            <w:pPr>
              <w:jc w:val="center"/>
              <w:rPr>
                <w:rFonts w:cs="Times New Roman"/>
                <w:sz w:val="22"/>
                <w:szCs w:val="22"/>
              </w:rPr>
            </w:pPr>
            <w:r w:rsidRPr="004826D1">
              <w:rPr>
                <w:rFonts w:cs="Times New Roman"/>
                <w:sz w:val="22"/>
                <w:szCs w:val="22"/>
              </w:rPr>
              <w:t>+3,8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E6EF78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21B788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EC5FA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1EB74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69F34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w:t>
            </w:r>
          </w:p>
        </w:tc>
      </w:tr>
      <w:tr w:rsidR="00617535" w:rsidRPr="004826D1" w14:paraId="227D200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EEFFE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RPPI</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7DC483C" w14:textId="77777777" w:rsidR="00617535" w:rsidRPr="004826D1" w:rsidRDefault="00617535" w:rsidP="00617535">
            <w:pPr>
              <w:jc w:val="center"/>
              <w:rPr>
                <w:rFonts w:cs="Times New Roman"/>
                <w:sz w:val="22"/>
                <w:szCs w:val="22"/>
              </w:rPr>
            </w:pPr>
            <w:r w:rsidRPr="004826D1">
              <w:rPr>
                <w:rFonts w:cs="Times New Roman"/>
                <w:sz w:val="22"/>
                <w:szCs w:val="22"/>
              </w:rPr>
              <w:t>+117,9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8CC27C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F9CA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+59,4</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6C9301E"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+45,7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F47E85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A9D5D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r>
      <w:tr w:rsidR="00617535" w:rsidRPr="004826D1" w14:paraId="625E4C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5416EC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Lauksaimniecība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A4291EB" w14:textId="77777777" w:rsidR="00617535" w:rsidRPr="004826D1" w:rsidRDefault="00617535" w:rsidP="00617535">
            <w:pPr>
              <w:jc w:val="center"/>
              <w:rPr>
                <w:rFonts w:cs="Times New Roman"/>
                <w:sz w:val="22"/>
                <w:szCs w:val="22"/>
              </w:rPr>
            </w:pPr>
            <w:r w:rsidRPr="004826D1">
              <w:rPr>
                <w:rFonts w:cs="Times New Roman"/>
                <w:sz w:val="22"/>
                <w:szCs w:val="22"/>
              </w:rPr>
              <w:t>+25,8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6E4B9D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FBB36C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31C59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C76F6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AEA878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-6,4</w:t>
            </w:r>
          </w:p>
        </w:tc>
      </w:tr>
      <w:tr w:rsidR="00617535" w:rsidRPr="004826D1" w14:paraId="682C041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9CC65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Atkritumu un notekūdeņu apsaimniekošana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771E4B3" w14:textId="77777777" w:rsidR="00617535" w:rsidRPr="004826D1" w:rsidRDefault="00617535" w:rsidP="00617535">
            <w:pPr>
              <w:jc w:val="center"/>
              <w:rPr>
                <w:rFonts w:cs="Times New Roman"/>
                <w:sz w:val="22"/>
                <w:szCs w:val="22"/>
              </w:rPr>
            </w:pPr>
            <w:r w:rsidRPr="004826D1">
              <w:rPr>
                <w:rFonts w:cs="Times New Roman"/>
                <w:sz w:val="22"/>
                <w:szCs w:val="22"/>
              </w:rPr>
              <w:t>-17,4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75F92D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91774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-39,8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F99E6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-40,4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3D609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AFBE7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-35</w:t>
            </w:r>
          </w:p>
        </w:tc>
      </w:tr>
      <w:tr w:rsidR="00617535" w:rsidRPr="004826D1" w14:paraId="093C5F2A"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7BA522FE" w14:textId="77777777" w:rsidR="00617535" w:rsidRPr="004826D1" w:rsidRDefault="00617535" w:rsidP="00617535">
            <w:pPr>
              <w:rPr>
                <w:rFonts w:cs="Times New Roman"/>
                <w:i/>
                <w:sz w:val="22"/>
                <w:szCs w:val="22"/>
              </w:rPr>
            </w:pPr>
            <w:r w:rsidRPr="004826D1">
              <w:rPr>
                <w:rFonts w:cs="Times New Roman"/>
                <w:i/>
                <w:sz w:val="22"/>
                <w:szCs w:val="22"/>
              </w:rPr>
              <w:t>ZIZIMM SEG apjoms un mērķi:</w:t>
            </w:r>
          </w:p>
        </w:tc>
      </w:tr>
      <w:tr w:rsidR="00617535" w:rsidRPr="004826D1" w14:paraId="39EC7CDC" w14:textId="77777777" w:rsidTr="0061753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1B8F85"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rPr>
              <w:t>ZIZIMM uzskaites kategoriju mērķis 2021.-2025.g. (kt CO</w:t>
            </w:r>
            <w:r w:rsidRPr="004826D1">
              <w:rPr>
                <w:rFonts w:cs="Times New Roman"/>
                <w:color w:val="000000"/>
                <w:sz w:val="22"/>
                <w:szCs w:val="22"/>
                <w:vertAlign w:val="subscript"/>
              </w:rPr>
              <w:t>2</w:t>
            </w:r>
            <w:r w:rsidRPr="004826D1">
              <w:rPr>
                <w:rFonts w:cs="Times New Roman"/>
                <w:color w:val="000000"/>
                <w:sz w:val="22"/>
                <w:szCs w:val="22"/>
              </w:rPr>
              <w:t xml:space="preserve"> </w:t>
            </w:r>
            <w:r w:rsidRPr="004826D1">
              <w:rPr>
                <w:rFonts w:cs="Times New Roman"/>
                <w:color w:val="000000"/>
                <w:sz w:val="22"/>
                <w:szCs w:val="22"/>
              </w:rPr>
              <w:lastRenderedPageBreak/>
              <w:t>ekv.)</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85DC32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lastRenderedPageBreak/>
              <w:t>-</w:t>
            </w:r>
          </w:p>
        </w:tc>
        <w:tc>
          <w:tcPr>
            <w:tcW w:w="1035" w:type="dxa"/>
            <w:tcBorders>
              <w:top w:val="single" w:sz="2" w:space="0" w:color="auto"/>
              <w:left w:val="single" w:sz="2" w:space="0" w:color="auto"/>
              <w:bottom w:val="single" w:sz="2" w:space="0" w:color="auto"/>
              <w:right w:val="single" w:sz="2" w:space="0" w:color="auto"/>
            </w:tcBorders>
            <w:vAlign w:val="center"/>
          </w:tcPr>
          <w:p w14:paraId="40155184" w14:textId="77777777" w:rsidR="00617535" w:rsidRPr="004826D1" w:rsidRDefault="00617535" w:rsidP="00617535">
            <w:pPr>
              <w:ind w:left="-90"/>
              <w:jc w:val="center"/>
              <w:rPr>
                <w:rFonts w:cs="Times New Roman"/>
                <w:color w:val="000000"/>
                <w:kern w:val="24"/>
                <w:sz w:val="22"/>
                <w:szCs w:val="22"/>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E5096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65CB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404123"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 xml:space="preserve">uzskaitāmās SEG emisijas </w:t>
            </w:r>
            <w:r w:rsidRPr="004826D1">
              <w:rPr>
                <w:rFonts w:cs="Times New Roman"/>
                <w:color w:val="000000"/>
                <w:sz w:val="22"/>
                <w:szCs w:val="22"/>
                <w:lang w:eastAsia="lv-LV"/>
              </w:rPr>
              <w:t>≤</w:t>
            </w:r>
            <w:r w:rsidRPr="004826D1">
              <w:rPr>
                <w:rFonts w:cs="Times New Roman"/>
                <w:color w:val="000000"/>
                <w:kern w:val="24"/>
                <w:sz w:val="22"/>
                <w:szCs w:val="22"/>
                <w:lang w:eastAsia="lv-LV"/>
              </w:rPr>
              <w:t xml:space="preserve"> uzskaitāmā SEG </w:t>
            </w:r>
            <w:r w:rsidRPr="004826D1">
              <w:rPr>
                <w:rFonts w:cs="Times New Roman"/>
                <w:color w:val="000000"/>
                <w:kern w:val="24"/>
                <w:sz w:val="22"/>
                <w:szCs w:val="22"/>
                <w:lang w:eastAsia="lv-LV"/>
              </w:rPr>
              <w:lastRenderedPageBreak/>
              <w:t>piesaiste</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20F8EF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lastRenderedPageBreak/>
              <w:t>-</w:t>
            </w:r>
          </w:p>
        </w:tc>
      </w:tr>
      <w:tr w:rsidR="00617535" w:rsidRPr="004826D1" w14:paraId="0603F22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7EE9AD" w14:textId="77777777" w:rsidR="00617535" w:rsidRPr="004826D1" w:rsidRDefault="00617535" w:rsidP="00617535">
            <w:pPr>
              <w:ind w:right="284"/>
              <w:rPr>
                <w:rFonts w:cs="Times New Roman"/>
                <w:color w:val="000000"/>
                <w:sz w:val="22"/>
                <w:szCs w:val="22"/>
              </w:rPr>
            </w:pPr>
            <w:r w:rsidRPr="004826D1">
              <w:rPr>
                <w:rFonts w:eastAsia="Calibri" w:cs="Times New Roman"/>
                <w:sz w:val="22"/>
                <w:szCs w:val="22"/>
              </w:rPr>
              <w:t>ZIZIMM sektora ziņošanas kategoriju mērķis 2026.-2030.g. (kt CO</w:t>
            </w:r>
            <w:r w:rsidRPr="004826D1">
              <w:rPr>
                <w:rFonts w:eastAsia="Calibri" w:cs="Times New Roman"/>
                <w:sz w:val="22"/>
                <w:szCs w:val="22"/>
                <w:vertAlign w:val="subscript"/>
              </w:rPr>
              <w:t>2</w:t>
            </w:r>
            <w:r w:rsidRPr="004826D1">
              <w:rPr>
                <w:rFonts w:eastAsia="Calibri" w:cs="Times New Roman"/>
                <w:sz w:val="22"/>
                <w:szCs w:val="22"/>
              </w:rPr>
              <w:t xml:space="preserve"> ekv)</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D75E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+2394,45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4626698" w14:textId="77777777" w:rsidR="00617535" w:rsidRPr="004826D1" w:rsidRDefault="00617535" w:rsidP="00617535">
            <w:pPr>
              <w:ind w:left="-90"/>
              <w:jc w:val="center"/>
              <w:rPr>
                <w:rFonts w:cs="Times New Roman"/>
                <w:sz w:val="22"/>
                <w:szCs w:val="22"/>
              </w:rPr>
            </w:pPr>
            <w:r w:rsidRPr="004826D1">
              <w:rPr>
                <w:rFonts w:cs="Times New Roman"/>
                <w:sz w:val="22"/>
                <w:szCs w:val="22"/>
              </w:rPr>
              <w:t>4944,16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06B8A6" w14:textId="77777777" w:rsidR="00617535" w:rsidRPr="004826D1" w:rsidRDefault="00617535" w:rsidP="00617535">
            <w:pPr>
              <w:jc w:val="center"/>
              <w:rPr>
                <w:rFonts w:eastAsia="Cambria" w:cs="Times New Roman"/>
                <w:kern w:val="24"/>
                <w:sz w:val="22"/>
                <w:szCs w:val="22"/>
              </w:rPr>
            </w:pPr>
            <w:r w:rsidRPr="004826D1">
              <w:rPr>
                <w:rFonts w:cs="Times New Roman"/>
                <w:sz w:val="22"/>
                <w:szCs w:val="22"/>
              </w:rPr>
              <w:t>+3294,6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E69391" w14:textId="77777777" w:rsidR="00617535" w:rsidRPr="004826D1" w:rsidRDefault="00617535" w:rsidP="00617535">
            <w:pPr>
              <w:jc w:val="center"/>
              <w:rPr>
                <w:rFonts w:cs="Times New Roman"/>
                <w:kern w:val="24"/>
                <w:sz w:val="22"/>
                <w:szCs w:val="22"/>
                <w:lang w:eastAsia="lv-LV"/>
              </w:rPr>
            </w:pPr>
            <w:r w:rsidRPr="004826D1">
              <w:rPr>
                <w:rFonts w:cs="Times New Roman"/>
                <w:sz w:val="22"/>
                <w:szCs w:val="22"/>
              </w:rPr>
              <w:t>-2961,5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B804A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9778DA"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sz w:val="22"/>
                <w:szCs w:val="22"/>
              </w:rPr>
              <w:t>-644</w:t>
            </w:r>
          </w:p>
        </w:tc>
      </w:tr>
      <w:tr w:rsidR="00617535" w:rsidRPr="004826D1" w14:paraId="09E1647C"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606E7DEA" w14:textId="77777777" w:rsidR="00617535" w:rsidRPr="004826D1" w:rsidRDefault="00617535" w:rsidP="00617535">
            <w:pPr>
              <w:rPr>
                <w:rFonts w:eastAsia="Calibri" w:cs="Times New Roman"/>
                <w:i/>
                <w:iCs/>
                <w:sz w:val="22"/>
                <w:szCs w:val="22"/>
              </w:rPr>
            </w:pPr>
            <w:r w:rsidRPr="004826D1">
              <w:rPr>
                <w:rFonts w:eastAsia="Calibri" w:cs="Times New Roman"/>
                <w:sz w:val="22"/>
                <w:szCs w:val="22"/>
              </w:rPr>
              <w:t>SEG emisiju intensitātes mērķi (%):</w:t>
            </w:r>
          </w:p>
        </w:tc>
      </w:tr>
      <w:tr w:rsidR="00617535" w:rsidRPr="004826D1" w14:paraId="517FDF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D8A0CC"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t>SEG emisiju intensitātes samazinājums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9D6AF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3,49</w:t>
            </w:r>
          </w:p>
        </w:tc>
        <w:tc>
          <w:tcPr>
            <w:tcW w:w="1035" w:type="dxa"/>
            <w:tcBorders>
              <w:top w:val="single" w:sz="2" w:space="0" w:color="auto"/>
              <w:left w:val="single" w:sz="2" w:space="0" w:color="auto"/>
              <w:bottom w:val="single" w:sz="2" w:space="0" w:color="auto"/>
              <w:right w:val="single" w:sz="2" w:space="0" w:color="auto"/>
            </w:tcBorders>
            <w:vAlign w:val="center"/>
          </w:tcPr>
          <w:p w14:paraId="351DF3D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2,23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20D5C6" w14:textId="77777777" w:rsidR="00617535" w:rsidRPr="004826D1" w:rsidRDefault="00617535" w:rsidP="00617535">
            <w:pPr>
              <w:jc w:val="center"/>
              <w:rPr>
                <w:rFonts w:cs="Times New Roman"/>
                <w:color w:val="000000"/>
                <w:kern w:val="24"/>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B5F62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B02AB9"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63FA2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15</w:t>
            </w:r>
          </w:p>
        </w:tc>
      </w:tr>
      <w:tr w:rsidR="00617535" w:rsidRPr="004826D1" w14:paraId="2EAA536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1A12EFE"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t>SEG emisiju intensitātes samazinājums konkrētiem kuģiem</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0F948CD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c>
          <w:tcPr>
            <w:tcW w:w="1035" w:type="dxa"/>
            <w:tcBorders>
              <w:top w:val="single" w:sz="2" w:space="0" w:color="auto"/>
              <w:left w:val="single" w:sz="2" w:space="0" w:color="auto"/>
              <w:bottom w:val="single" w:sz="2" w:space="0" w:color="auto"/>
              <w:right w:val="single" w:sz="2" w:space="0" w:color="auto"/>
            </w:tcBorders>
            <w:vAlign w:val="center"/>
          </w:tcPr>
          <w:p w14:paraId="50EC8B7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DAE5EBF"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575800E"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BE7B8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9650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w:t>
            </w:r>
          </w:p>
        </w:tc>
      </w:tr>
      <w:tr w:rsidR="00617535" w:rsidRPr="004826D1" w14:paraId="596E3C9F"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574DA98C" w14:textId="0580FB1B" w:rsidR="00617535" w:rsidRPr="004826D1" w:rsidRDefault="00617535" w:rsidP="00617535">
            <w:pPr>
              <w:jc w:val="center"/>
              <w:rPr>
                <w:rFonts w:cs="Times New Roman"/>
                <w:color w:val="000000"/>
                <w:kern w:val="24"/>
                <w:sz w:val="22"/>
                <w:szCs w:val="22"/>
                <w:lang w:eastAsia="lv-LV"/>
              </w:rPr>
            </w:pPr>
            <w:r w:rsidRPr="004826D1">
              <w:rPr>
                <w:rFonts w:cs="Times New Roman"/>
                <w:i/>
                <w:iCs/>
                <w:color w:val="000000"/>
                <w:sz w:val="22"/>
                <w:szCs w:val="22"/>
              </w:rPr>
              <w:t>II</w:t>
            </w:r>
            <w:r w:rsidR="00857535">
              <w:rPr>
                <w:rFonts w:cs="Times New Roman"/>
                <w:i/>
                <w:iCs/>
                <w:color w:val="000000"/>
                <w:sz w:val="22"/>
                <w:szCs w:val="22"/>
              </w:rPr>
              <w:t xml:space="preserve"> </w:t>
            </w:r>
            <w:r w:rsidRPr="004826D1">
              <w:rPr>
                <w:rFonts w:cs="Times New Roman"/>
                <w:i/>
                <w:iCs/>
                <w:color w:val="000000"/>
                <w:sz w:val="22"/>
                <w:szCs w:val="22"/>
              </w:rPr>
              <w:t>AE īpatsvara mērķi (%)</w:t>
            </w:r>
          </w:p>
        </w:tc>
      </w:tr>
      <w:tr w:rsidR="00617535" w:rsidRPr="004826D1" w14:paraId="1F6E181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874A7" w14:textId="77777777" w:rsidR="00617535" w:rsidRPr="004826D1" w:rsidRDefault="00025808" w:rsidP="00617535">
            <w:pPr>
              <w:ind w:right="284"/>
              <w:rPr>
                <w:rFonts w:cs="Times New Roman"/>
                <w:color w:val="000000"/>
                <w:sz w:val="22"/>
                <w:szCs w:val="22"/>
              </w:rPr>
            </w:pPr>
            <w:hyperlink r:id="rId19" w:anchor="RANGE!_ftn1" w:history="1">
              <w:r w:rsidR="00617535" w:rsidRPr="004826D1">
                <w:rPr>
                  <w:rFonts w:cs="Times New Roman"/>
                  <w:color w:val="000000"/>
                  <w:sz w:val="22"/>
                  <w:szCs w:val="22"/>
                  <w:lang w:eastAsia="lv-LV"/>
                </w:rPr>
                <w:t>AE īpatsvars enerģijas galapatēriņā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640232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42,11</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5916C0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6E93E3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49,3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5051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58,9</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A060C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47,3</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AC7E1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w:t>
            </w:r>
          </w:p>
        </w:tc>
      </w:tr>
      <w:tr w:rsidR="00617535" w:rsidRPr="004826D1" w14:paraId="77AB4FF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FEF9E" w14:textId="77777777" w:rsidR="00617535" w:rsidRPr="004826D1" w:rsidRDefault="00617535" w:rsidP="00617535">
            <w:pPr>
              <w:ind w:right="284"/>
              <w:rPr>
                <w:rFonts w:cs="Times New Roman"/>
                <w:sz w:val="22"/>
                <w:szCs w:val="22"/>
              </w:rPr>
            </w:pPr>
            <w:r w:rsidRPr="004826D1">
              <w:rPr>
                <w:rFonts w:cs="Times New Roman"/>
                <w:sz w:val="22"/>
                <w:szCs w:val="22"/>
              </w:rPr>
              <w:t>AE īpatsvars elektroenerģijas galapatēriņā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BB86D7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51,4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D4D66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D65BDA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72,9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2A2AE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97,4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BCBB54"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6B766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&gt;70</w:t>
            </w:r>
          </w:p>
        </w:tc>
      </w:tr>
      <w:tr w:rsidR="00617535" w:rsidRPr="004826D1" w14:paraId="2B2D9AE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227E086" w14:textId="77777777" w:rsidR="00617535" w:rsidRPr="004826D1" w:rsidRDefault="00617535" w:rsidP="00617535">
            <w:pPr>
              <w:ind w:right="284"/>
              <w:rPr>
                <w:rFonts w:cs="Times New Roman"/>
                <w:sz w:val="22"/>
                <w:szCs w:val="22"/>
              </w:rPr>
            </w:pPr>
            <w:r w:rsidRPr="004826D1">
              <w:rPr>
                <w:rFonts w:cs="Times New Roman"/>
                <w:sz w:val="22"/>
                <w:szCs w:val="22"/>
              </w:rPr>
              <w:t>AER īpatsvars Latvijā saražotajā elektroenerģijā</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EDD18D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30FF2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75,7</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DA519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90,6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378D3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92,9</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4F8C8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CE5F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100</w:t>
            </w:r>
          </w:p>
        </w:tc>
      </w:tr>
      <w:tr w:rsidR="00617535" w:rsidRPr="004826D1" w14:paraId="4504FFDB"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F9D40A8" w14:textId="77777777" w:rsidR="00617535" w:rsidRPr="004826D1" w:rsidRDefault="00025808" w:rsidP="00617535">
            <w:pPr>
              <w:ind w:right="284"/>
              <w:rPr>
                <w:rFonts w:cs="Times New Roman"/>
                <w:color w:val="000000"/>
                <w:sz w:val="22"/>
                <w:szCs w:val="22"/>
              </w:rPr>
            </w:pPr>
            <w:hyperlink r:id="rId20" w:anchor="RANGE!_ftn2" w:history="1">
              <w:r w:rsidR="00617535" w:rsidRPr="004826D1">
                <w:rPr>
                  <w:rFonts w:cs="Times New Roman"/>
                  <w:color w:val="000000"/>
                  <w:sz w:val="22"/>
                  <w:szCs w:val="22"/>
                  <w:lang w:eastAsia="lv-LV"/>
                </w:rPr>
                <w:t>AE īpatsvars siltumapgādē un aukstumapgādē</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EC6163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30501E9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B361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68,3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C0825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67,0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55E54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49B72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66,4</w:t>
            </w:r>
          </w:p>
        </w:tc>
      </w:tr>
      <w:tr w:rsidR="00617535" w:rsidRPr="004826D1" w14:paraId="54E300A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D84B7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CSA un CAA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3D455C5"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56,6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3EB47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1B1B8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FCF47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3B90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D1B218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73,9</w:t>
            </w:r>
          </w:p>
        </w:tc>
      </w:tr>
      <w:tr w:rsidR="00617535" w:rsidRPr="004826D1" w14:paraId="6017A1E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39DE09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ABEB2D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0E09B3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B0034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7A49E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30,3</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7308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2A414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29</w:t>
            </w:r>
          </w:p>
        </w:tc>
      </w:tr>
      <w:tr w:rsidR="00617535" w:rsidRPr="004826D1" w14:paraId="70A6BF26"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AA0118"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ēkās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5F8ACB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57,2</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006CEC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036BFF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70531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3118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678D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65</w:t>
            </w:r>
          </w:p>
        </w:tc>
      </w:tr>
      <w:tr w:rsidR="00617535" w:rsidRPr="004826D1" w14:paraId="33289E9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FFF5FD"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rūpniecībā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18CB504"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58,5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E09269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19EA9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4948C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71,0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7983F5" w14:textId="77777777" w:rsidR="00617535" w:rsidRPr="004826D1" w:rsidRDefault="00617535" w:rsidP="00617535">
            <w:pPr>
              <w:jc w:val="center"/>
              <w:rPr>
                <w:rFonts w:cs="Times New Roman"/>
                <w:color w:val="000000"/>
                <w:sz w:val="22"/>
                <w:szCs w:val="22"/>
                <w:lang w:eastAsia="lv-LV"/>
              </w:rPr>
            </w:pPr>
            <w:r w:rsidRPr="004826D1" w:rsidDel="00A06B69">
              <w:rPr>
                <w:rFonts w:cs="Times New Roman"/>
                <w:i/>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C8386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73,1</w:t>
            </w:r>
          </w:p>
        </w:tc>
      </w:tr>
      <w:tr w:rsidR="00617535" w:rsidRPr="004826D1" w14:paraId="03898E37"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57B74E"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lauksaimniecībā, mežsaimniecībā un zivsaimniecībā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81FFFA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18,0</w:t>
            </w:r>
          </w:p>
        </w:tc>
        <w:tc>
          <w:tcPr>
            <w:tcW w:w="1035" w:type="dxa"/>
            <w:tcBorders>
              <w:top w:val="single" w:sz="2" w:space="0" w:color="auto"/>
              <w:left w:val="single" w:sz="2" w:space="0" w:color="auto"/>
              <w:bottom w:val="single" w:sz="2" w:space="0" w:color="auto"/>
              <w:right w:val="single" w:sz="2" w:space="0" w:color="auto"/>
            </w:tcBorders>
            <w:vAlign w:val="center"/>
          </w:tcPr>
          <w:p w14:paraId="1E9EAA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033A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E04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F6221"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D474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30</w:t>
            </w:r>
          </w:p>
        </w:tc>
      </w:tr>
      <w:tr w:rsidR="00617535" w:rsidRPr="004826D1" w14:paraId="0F8A46D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2180C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moderno biodegvielu un biogāzes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35690A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2,3</w:t>
            </w:r>
          </w:p>
        </w:tc>
        <w:tc>
          <w:tcPr>
            <w:tcW w:w="1035" w:type="dxa"/>
            <w:tcBorders>
              <w:top w:val="single" w:sz="2" w:space="0" w:color="auto"/>
              <w:left w:val="single" w:sz="2" w:space="0" w:color="auto"/>
              <w:bottom w:val="single" w:sz="2" w:space="0" w:color="auto"/>
              <w:right w:val="single" w:sz="2" w:space="0" w:color="auto"/>
            </w:tcBorders>
            <w:vAlign w:val="center"/>
          </w:tcPr>
          <w:p w14:paraId="3AF9787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8F66D8" w14:textId="77777777" w:rsidR="00617535" w:rsidRPr="004826D1" w:rsidRDefault="00617535" w:rsidP="00617535">
            <w:pPr>
              <w:jc w:val="center"/>
              <w:rPr>
                <w:rFonts w:cs="Times New Roman"/>
                <w:color w:val="000000"/>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69186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D905A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A84E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r>
      <w:tr w:rsidR="00617535" w:rsidRPr="004826D1" w14:paraId="69669BA3"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CCC913"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RFNBO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94ABA5D"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2DC612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88913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0,00002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38396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0,6</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FF4BB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0935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r>
      <w:tr w:rsidR="00617535" w:rsidRPr="004826D1" w14:paraId="6F27BA4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06DB48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RFNBO īpatsvars rūpniecībā izmantotajā ūdeņradī</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BB4542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00C0D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9C6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A1D94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1A86E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58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42</w:t>
            </w:r>
          </w:p>
        </w:tc>
      </w:tr>
      <w:tr w:rsidR="00617535" w:rsidRPr="004826D1" w14:paraId="7FB3701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22161F2" w14:textId="77777777" w:rsidR="00617535" w:rsidRPr="004826D1" w:rsidRDefault="00025808" w:rsidP="00617535">
            <w:pPr>
              <w:ind w:right="284"/>
              <w:rPr>
                <w:rFonts w:cs="Times New Roman"/>
                <w:color w:val="000000"/>
                <w:sz w:val="22"/>
                <w:szCs w:val="22"/>
              </w:rPr>
            </w:pPr>
            <w:hyperlink r:id="rId21" w:anchor="RANGE!A32" w:history="1">
              <w:r w:rsidR="00617535" w:rsidRPr="004826D1">
                <w:rPr>
                  <w:rFonts w:cs="Times New Roman"/>
                  <w:color w:val="000000"/>
                  <w:sz w:val="22"/>
                  <w:szCs w:val="22"/>
                  <w:lang w:eastAsia="lv-LV"/>
                </w:rPr>
                <w:t>ilgtspējīgo degvielu īpatsvars gaisa transportā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5B77760"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A6B7E6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DC4DA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9B76D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A6C3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868B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r w:rsidR="00617535" w:rsidRPr="004826D1" w14:paraId="36399F6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E036F1" w14:textId="77777777" w:rsidR="00617535" w:rsidRPr="004826D1" w:rsidRDefault="00617535" w:rsidP="00617535">
            <w:pPr>
              <w:ind w:right="284"/>
              <w:rPr>
                <w:rFonts w:cs="Times New Roman"/>
                <w:sz w:val="22"/>
                <w:szCs w:val="22"/>
              </w:rPr>
            </w:pPr>
            <w:r w:rsidRPr="004826D1">
              <w:rPr>
                <w:rFonts w:cs="Times New Roman"/>
                <w:sz w:val="22"/>
                <w:szCs w:val="22"/>
              </w:rPr>
              <w:t>inovatīvas AE tehnoloģijas no jauna uzstādītajās AE jaudās</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A8768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6D7A4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C6417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C9330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6E5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88052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bl>
    <w:p w14:paraId="5BA3FE4A" w14:textId="77777777" w:rsidR="009C2323" w:rsidRPr="004826D1" w:rsidRDefault="009C2323" w:rsidP="00617535">
      <w:pPr>
        <w:pStyle w:val="ListParagraph1"/>
        <w:ind w:left="0"/>
        <w:jc w:val="both"/>
        <w:rPr>
          <w:rFonts w:cs="Times New Roman"/>
          <w:szCs w:val="22"/>
          <w:lang w:eastAsia="lv-LV"/>
        </w:rPr>
      </w:pPr>
    </w:p>
    <w:p w14:paraId="3D5F439C"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lastRenderedPageBreak/>
        <w:t>Latvijai sasniegt SEG emisiju mērķus ne-ETS un ZIZIMM sektorā laika periodā līdz 2030. g. būs izaicinājums, bet tie ir būtiski virzībā uz klimatneitralitāti. Galvenie izaicinājumi, kas saistīti a</w:t>
      </w:r>
      <w:r w:rsidR="009C2323" w:rsidRPr="007A6B93">
        <w:rPr>
          <w:rFonts w:cs="Times New Roman"/>
          <w:sz w:val="24"/>
          <w:szCs w:val="24"/>
          <w:lang w:eastAsia="lv-LV"/>
        </w:rPr>
        <w:t>r šo mērķu sasniegšanu ir:</w:t>
      </w:r>
    </w:p>
    <w:p w14:paraId="0AB192A3"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1) efektīvu politiku un regulējuma izstrāde un ieviešana, lai samazinātu SEG emisijas un ilgtspējīgi pārvaldītu zemes izmantojumu, ņemot vērā pretestīb</w:t>
      </w:r>
      <w:r w:rsidR="009C2323" w:rsidRPr="007A6B93">
        <w:rPr>
          <w:rFonts w:cs="Times New Roman"/>
          <w:sz w:val="24"/>
          <w:szCs w:val="24"/>
          <w:lang w:eastAsia="lv-LV"/>
        </w:rPr>
        <w:t>u no dažādām iesaistītām pusēm;</w:t>
      </w:r>
    </w:p>
    <w:p w14:paraId="59533E52"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2) pāreja uz bezemisiju tehnoloģijām un praksēm sektoros, piemēram, lauksaimniecībā, transportā un ēkās, var prasīt nozīmīgu tehnoloģ</w:t>
      </w:r>
      <w:r w:rsidR="009C2323" w:rsidRPr="007A6B93">
        <w:rPr>
          <w:rFonts w:cs="Times New Roman"/>
          <w:sz w:val="24"/>
          <w:szCs w:val="24"/>
          <w:lang w:eastAsia="lv-LV"/>
        </w:rPr>
        <w:t>isku inovāciju un ieguldījumus;</w:t>
      </w:r>
    </w:p>
    <w:p w14:paraId="698AB816"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3) paradumu maiņa – gan individuālā, gan uzņēmumu līmenī, ko grūti ietekmēt un uzturēt;</w:t>
      </w:r>
    </w:p>
    <w:p w14:paraId="09C51E34"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4) nepieciešams atbilstošs finansējums un ieguldījumi, lai atbalstītu iniciatīvas, kas vērstas uz emisiju samazināšanu un ilgtspējīga zemes izmantojuma veicināšanu</w:t>
      </w:r>
      <w:r w:rsidR="009C2323" w:rsidRPr="007A6B93">
        <w:rPr>
          <w:rFonts w:cs="Times New Roman"/>
          <w:sz w:val="24"/>
          <w:szCs w:val="24"/>
          <w:lang w:eastAsia="lv-LV"/>
        </w:rPr>
        <w:t>;</w:t>
      </w:r>
    </w:p>
    <w:p w14:paraId="6A246E2E" w14:textId="77777777" w:rsidR="00617535"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5) datu kvalitāte, tai skaitā, visu veikto pasākumu atspoguļošana SEG emisiju datos. Lai risinātu šos izaicinājumus ir jāstrādā kopā visos līmeņos, gan valsts, gan uzņēmumu, izvirzot skaidru un ambiciozu mērķi, kā arī jāievieš politiku un pasākumu kombināciju, piemēram, AE veicinošu, energoefektivitātes uzlabošanu, ilgtspējīgu zemes pārvaldību, apmežošanu un citus pasākumus, lai samazinātu SEG emisijas un palielinātu CO</w:t>
      </w:r>
      <w:r w:rsidRPr="007A6B93">
        <w:rPr>
          <w:rFonts w:cs="Times New Roman"/>
          <w:sz w:val="24"/>
          <w:szCs w:val="24"/>
          <w:vertAlign w:val="subscript"/>
          <w:lang w:eastAsia="lv-LV"/>
        </w:rPr>
        <w:t>2</w:t>
      </w:r>
      <w:r w:rsidRPr="007A6B93">
        <w:rPr>
          <w:rFonts w:cs="Times New Roman"/>
          <w:sz w:val="24"/>
          <w:szCs w:val="24"/>
          <w:lang w:eastAsia="lv-LV"/>
        </w:rPr>
        <w:t xml:space="preserve"> piesaisti.</w:t>
      </w:r>
    </w:p>
    <w:p w14:paraId="12A3CAE2" w14:textId="77777777" w:rsidR="00617535" w:rsidRPr="007A6B93" w:rsidRDefault="00617535" w:rsidP="009C2323">
      <w:pPr>
        <w:pStyle w:val="ListParagraph1"/>
        <w:spacing w:before="120" w:after="120"/>
        <w:ind w:left="0"/>
        <w:contextualSpacing w:val="0"/>
        <w:jc w:val="both"/>
        <w:rPr>
          <w:rFonts w:cs="Times New Roman"/>
          <w:sz w:val="24"/>
          <w:szCs w:val="24"/>
          <w:highlight w:val="green"/>
          <w:lang w:eastAsia="lv-LV"/>
        </w:rPr>
      </w:pPr>
      <w:r w:rsidRPr="007A6B93">
        <w:rPr>
          <w:rFonts w:cs="Times New Roman"/>
          <w:sz w:val="24"/>
          <w:szCs w:val="24"/>
          <w:lang w:eastAsia="lv-LV"/>
        </w:rPr>
        <w:t>Latvijai 2022. g. lielā daļā no energobilances sektoriem AE īpatsvars pārsniedz 60% īpatsvaru. Līdz ar to būtisks AE īpatsvara palielinājums Latvijai kā valstij ar jau pietiekami augstu AE īpatsvaru būs grūtāks un dārgāks. 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apakšsektoriem, kuros jau sākotnēji ir salīdzinoši mazākais AE īpatsvars. Periodā līdz 2030. g. Latvija neplāno RFNBO eksportu un importu. Ņemot vērā importētās elektroenerģijas apjomu, ko atbilstoši atjaunīgās elektroenerģijas aprēķina nosacījumiem ieskaita kā pilnībā fosilu elektroenerģiju, neņemot vērā elektroenerģijas importētājvalsts atjaunīgās elektroenerģijas īpatsvaru, Latvijas atjaunīgās elektroenerģijas īpatsvars tikai nedaudz pārsniedz 50%, lai gan Latvijā ražotās elektroenerģijas īpatsvars pēdējos gados pārsniedz 75%. Latvijai ir ļoti labas iespējas būtiski paaugstināt atjaunīgās elektroenerģijas īpatsvaru Latvijā saražotajā elektroenerģijas apjomā, vienlaikus, ņemot vērā iepriekšminēto nav iespējams prognozēt tā ietekmi uz ar EUROSTAT metodi aprēķināto atjaunīgās elektroenerģijas īpatsvaru.</w:t>
      </w:r>
    </w:p>
    <w:p w14:paraId="30AAF05B" w14:textId="77777777" w:rsidR="001206B9" w:rsidRPr="007A6B93" w:rsidRDefault="001206B9" w:rsidP="009C2323">
      <w:pPr>
        <w:spacing w:before="120" w:after="120"/>
        <w:jc w:val="both"/>
        <w:rPr>
          <w:rFonts w:cs="Times New Roman"/>
          <w:szCs w:val="24"/>
        </w:rPr>
      </w:pPr>
      <w:r w:rsidRPr="007A6B93">
        <w:rPr>
          <w:rFonts w:cs="Times New Roman"/>
          <w:szCs w:val="24"/>
        </w:rPr>
        <w:t xml:space="preserve">Lai </w:t>
      </w:r>
      <w:r w:rsidR="00330DE8" w:rsidRPr="007A6B93">
        <w:rPr>
          <w:rFonts w:cs="Times New Roman"/>
          <w:szCs w:val="24"/>
        </w:rPr>
        <w:t xml:space="preserve">kopumā </w:t>
      </w:r>
      <w:r w:rsidRPr="007A6B93">
        <w:rPr>
          <w:rFonts w:cs="Times New Roman"/>
          <w:szCs w:val="24"/>
        </w:rPr>
        <w:t xml:space="preserve">īstenotu </w:t>
      </w:r>
      <w:r w:rsidR="00330DE8" w:rsidRPr="007A6B93">
        <w:rPr>
          <w:rFonts w:cs="Times New Roman"/>
          <w:szCs w:val="24"/>
        </w:rPr>
        <w:t xml:space="preserve">visu </w:t>
      </w:r>
      <w:r w:rsidR="00546675" w:rsidRPr="007A6B93">
        <w:rPr>
          <w:rFonts w:cs="Times New Roman"/>
          <w:szCs w:val="24"/>
        </w:rPr>
        <w:t xml:space="preserve">šo </w:t>
      </w:r>
      <w:r w:rsidRPr="007A6B93">
        <w:rPr>
          <w:rFonts w:cs="Times New Roman"/>
          <w:szCs w:val="24"/>
        </w:rPr>
        <w:t>vīziju</w:t>
      </w:r>
      <w:r w:rsidR="00546675" w:rsidRPr="007A6B93">
        <w:rPr>
          <w:rFonts w:cs="Times New Roman"/>
          <w:szCs w:val="24"/>
        </w:rPr>
        <w:t>,</w:t>
      </w:r>
      <w:r w:rsidRPr="007A6B93">
        <w:rPr>
          <w:rFonts w:cs="Times New Roman"/>
          <w:szCs w:val="24"/>
        </w:rPr>
        <w:t xml:space="preserve"> ir nepieciešams</w:t>
      </w:r>
      <w:r w:rsidR="004428E1" w:rsidRPr="007A6B93">
        <w:rPr>
          <w:rFonts w:cs="Times New Roman"/>
          <w:szCs w:val="24"/>
        </w:rPr>
        <w:t xml:space="preserve"> (skat. </w:t>
      </w:r>
      <w:r w:rsidR="00BA1A52">
        <w:rPr>
          <w:rFonts w:cs="Times New Roman"/>
          <w:szCs w:val="24"/>
        </w:rPr>
        <w:t>3.</w:t>
      </w:r>
      <w:r w:rsidR="004428E1" w:rsidRPr="007A6B93">
        <w:rPr>
          <w:rFonts w:cs="Times New Roman"/>
          <w:szCs w:val="24"/>
        </w:rPr>
        <w:t>1</w:t>
      </w:r>
      <w:r w:rsidR="00367DDE">
        <w:rPr>
          <w:rFonts w:cs="Times New Roman"/>
          <w:szCs w:val="24"/>
        </w:rPr>
        <w:t>0</w:t>
      </w:r>
      <w:r w:rsidR="004428E1" w:rsidRPr="007A6B93">
        <w:rPr>
          <w:rFonts w:cs="Times New Roman"/>
          <w:szCs w:val="24"/>
        </w:rPr>
        <w:t>. att.)</w:t>
      </w:r>
      <w:r w:rsidRPr="007A6B93">
        <w:rPr>
          <w:rFonts w:cs="Times New Roman"/>
          <w:szCs w:val="24"/>
        </w:rPr>
        <w:t>:</w:t>
      </w:r>
    </w:p>
    <w:p w14:paraId="28D3AC00"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v</w:t>
      </w:r>
      <w:r w:rsidR="001206B9" w:rsidRPr="007A6B93">
        <w:rPr>
          <w:rFonts w:cs="Times New Roman"/>
          <w:sz w:val="24"/>
          <w:szCs w:val="24"/>
        </w:rPr>
        <w:t>eicināt resursu efektīvu izmantošanu, kā arī to pašpietiekamību un dažādību;</w:t>
      </w:r>
    </w:p>
    <w:p w14:paraId="5B7A46C7"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n</w:t>
      </w:r>
      <w:r w:rsidR="001206B9" w:rsidRPr="007A6B93">
        <w:rPr>
          <w:rFonts w:cs="Times New Roman"/>
          <w:sz w:val="24"/>
          <w:szCs w:val="24"/>
        </w:rPr>
        <w:t>odrošināt</w:t>
      </w:r>
      <w:r w:rsidR="00C71FCA" w:rsidRPr="007A6B93">
        <w:rPr>
          <w:rFonts w:cs="Times New Roman"/>
          <w:sz w:val="24"/>
          <w:szCs w:val="24"/>
        </w:rPr>
        <w:t xml:space="preserve"> </w:t>
      </w:r>
      <w:r w:rsidR="001206B9" w:rsidRPr="007A6B93">
        <w:rPr>
          <w:rFonts w:cs="Times New Roman"/>
          <w:sz w:val="24"/>
          <w:szCs w:val="24"/>
        </w:rPr>
        <w:t>resursu, un it īpaši fosilu un neilgtspējīgu resursu, patēriņa būtisku samazināšanu un vienlaicīgu pāreju uz ilgtspējīgu, atjaunojamu un inovatīvu resursu izmantošanu;</w:t>
      </w:r>
    </w:p>
    <w:p w14:paraId="7CFA24C5"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s</w:t>
      </w:r>
      <w:r w:rsidR="001206B9" w:rsidRPr="007A6B93">
        <w:rPr>
          <w:rFonts w:cs="Times New Roman"/>
          <w:sz w:val="24"/>
          <w:szCs w:val="24"/>
        </w:rPr>
        <w:t xml:space="preserve">timulēt tādas pētniecības un inovāciju attīstību, kas veicina ilgtspējīgas enerģētikas sektora attīstību un klimata pārmaiņu mazināšanu. </w:t>
      </w:r>
    </w:p>
    <w:p w14:paraId="236189A9" w14:textId="77777777" w:rsidR="00371318" w:rsidRPr="007A6B93" w:rsidRDefault="00371318" w:rsidP="00371318">
      <w:pPr>
        <w:pStyle w:val="ListParagraph1"/>
        <w:spacing w:before="120" w:after="120"/>
        <w:ind w:left="0"/>
        <w:contextualSpacing w:val="0"/>
        <w:jc w:val="both"/>
        <w:rPr>
          <w:rFonts w:cs="Times New Roman"/>
          <w:sz w:val="24"/>
          <w:szCs w:val="24"/>
        </w:rPr>
      </w:pPr>
    </w:p>
    <w:p w14:paraId="6FEAE80A" w14:textId="77777777" w:rsidR="00560AEB" w:rsidRPr="007A6B93" w:rsidRDefault="00560AEB" w:rsidP="00560AEB">
      <w:pPr>
        <w:spacing w:before="120" w:after="120"/>
        <w:jc w:val="both"/>
        <w:rPr>
          <w:b/>
          <w:szCs w:val="24"/>
          <w:u w:val="single"/>
        </w:rPr>
      </w:pPr>
      <w:r w:rsidRPr="007A6B93">
        <w:rPr>
          <w:b/>
          <w:szCs w:val="24"/>
          <w:u w:val="single"/>
        </w:rPr>
        <w:t xml:space="preserve">Plāna mērķu sasniegšanai noteikti šādi rīcības virzieni: </w:t>
      </w:r>
    </w:p>
    <w:p w14:paraId="21D4CB0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Ēku</w:t>
      </w:r>
      <w:r w:rsidRPr="007A6B93">
        <w:rPr>
          <w:sz w:val="24"/>
          <w:szCs w:val="24"/>
        </w:rPr>
        <w:t xml:space="preserve"> energoefektivitātes uzlabošana;</w:t>
      </w:r>
    </w:p>
    <w:p w14:paraId="7B7EC900"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un AER tehnoloģiju izmantošanas veicināšana </w:t>
      </w:r>
      <w:r w:rsidRPr="007A6B93">
        <w:rPr>
          <w:b/>
          <w:sz w:val="24"/>
          <w:szCs w:val="24"/>
        </w:rPr>
        <w:t>siltumapgādē un aukstumapgādē</w:t>
      </w:r>
      <w:r w:rsidRPr="007A6B93">
        <w:rPr>
          <w:sz w:val="24"/>
          <w:szCs w:val="24"/>
        </w:rPr>
        <w:t xml:space="preserve"> un </w:t>
      </w:r>
      <w:r w:rsidRPr="007A6B93">
        <w:rPr>
          <w:b/>
          <w:sz w:val="24"/>
          <w:szCs w:val="24"/>
        </w:rPr>
        <w:t>rūpniecībā</w:t>
      </w:r>
      <w:r w:rsidRPr="007A6B93">
        <w:rPr>
          <w:sz w:val="24"/>
          <w:szCs w:val="24"/>
        </w:rPr>
        <w:t>;</w:t>
      </w:r>
    </w:p>
    <w:p w14:paraId="49F1FAF0" w14:textId="77777777" w:rsidR="00560AEB" w:rsidRPr="007A6B93" w:rsidRDefault="00560AEB" w:rsidP="00B71063">
      <w:pPr>
        <w:pStyle w:val="ListParagraph1"/>
        <w:numPr>
          <w:ilvl w:val="0"/>
          <w:numId w:val="21"/>
        </w:numPr>
        <w:spacing w:before="120" w:after="120"/>
        <w:ind w:left="397" w:hanging="397"/>
        <w:contextualSpacing w:val="0"/>
        <w:jc w:val="both"/>
        <w:rPr>
          <w:b/>
          <w:sz w:val="24"/>
          <w:szCs w:val="24"/>
        </w:rPr>
      </w:pPr>
      <w:r w:rsidRPr="007A6B93">
        <w:rPr>
          <w:sz w:val="24"/>
          <w:szCs w:val="24"/>
        </w:rPr>
        <w:lastRenderedPageBreak/>
        <w:t xml:space="preserve">Ne-emisiju tehnoloģiju izmantošanas veicināšana </w:t>
      </w:r>
      <w:r w:rsidRPr="007A6B93">
        <w:rPr>
          <w:b/>
          <w:sz w:val="24"/>
          <w:szCs w:val="24"/>
        </w:rPr>
        <w:t>elektroenerģijās ražošanā</w:t>
      </w:r>
      <w:r w:rsidRPr="007A6B93">
        <w:rPr>
          <w:sz w:val="24"/>
          <w:szCs w:val="24"/>
        </w:rPr>
        <w:t>;</w:t>
      </w:r>
    </w:p>
    <w:p w14:paraId="63349F6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Ekonomiski pamatotas enerģijas pašražošanas</w:t>
      </w:r>
      <w:r w:rsidRPr="007A6B93">
        <w:rPr>
          <w:sz w:val="24"/>
          <w:szCs w:val="24"/>
        </w:rPr>
        <w:t xml:space="preserve"> un </w:t>
      </w:r>
      <w:r w:rsidRPr="007A6B93">
        <w:rPr>
          <w:b/>
          <w:sz w:val="24"/>
          <w:szCs w:val="24"/>
        </w:rPr>
        <w:t xml:space="preserve">pašpatēriņa </w:t>
      </w:r>
      <w:r w:rsidRPr="007A6B93">
        <w:rPr>
          <w:sz w:val="24"/>
          <w:szCs w:val="24"/>
        </w:rPr>
        <w:t>veicināšana;</w:t>
      </w:r>
    </w:p>
    <w:p w14:paraId="74D51B6B"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alternatīvo degvielu un AER tehnoloģiju izmantošanas veicināšana </w:t>
      </w:r>
      <w:r w:rsidRPr="007A6B93">
        <w:rPr>
          <w:b/>
          <w:bCs/>
          <w:sz w:val="24"/>
          <w:szCs w:val="24"/>
        </w:rPr>
        <w:t>transportā</w:t>
      </w:r>
      <w:r w:rsidRPr="007A6B93">
        <w:rPr>
          <w:sz w:val="24"/>
          <w:szCs w:val="24"/>
        </w:rPr>
        <w:t>;</w:t>
      </w:r>
    </w:p>
    <w:p w14:paraId="2E89DD9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Enerģētiskā </w:t>
      </w:r>
      <w:r w:rsidRPr="007A6B93">
        <w:rPr>
          <w:b/>
          <w:sz w:val="24"/>
          <w:szCs w:val="24"/>
        </w:rPr>
        <w:t xml:space="preserve">drošība, </w:t>
      </w:r>
      <w:r w:rsidRPr="007A6B93">
        <w:rPr>
          <w:bCs/>
          <w:sz w:val="24"/>
          <w:szCs w:val="24"/>
        </w:rPr>
        <w:t xml:space="preserve">enerģētiskās </w:t>
      </w:r>
      <w:r w:rsidRPr="007A6B93">
        <w:rPr>
          <w:b/>
          <w:sz w:val="24"/>
          <w:szCs w:val="24"/>
        </w:rPr>
        <w:t>atkarības mazināšana</w:t>
      </w:r>
      <w:r w:rsidRPr="007A6B93">
        <w:rPr>
          <w:sz w:val="24"/>
          <w:szCs w:val="24"/>
        </w:rPr>
        <w:t xml:space="preserve">, pilnīga </w:t>
      </w:r>
      <w:r w:rsidRPr="007A6B93">
        <w:rPr>
          <w:bCs/>
          <w:sz w:val="24"/>
          <w:szCs w:val="24"/>
        </w:rPr>
        <w:t>enerģijas</w:t>
      </w:r>
      <w:r w:rsidRPr="007A6B93">
        <w:rPr>
          <w:b/>
          <w:sz w:val="24"/>
          <w:szCs w:val="24"/>
        </w:rPr>
        <w:t xml:space="preserve"> tirgu</w:t>
      </w:r>
      <w:r w:rsidRPr="007A6B93">
        <w:rPr>
          <w:sz w:val="24"/>
          <w:szCs w:val="24"/>
        </w:rPr>
        <w:t xml:space="preserve"> integrācija un </w:t>
      </w:r>
      <w:r w:rsidRPr="007A6B93">
        <w:rPr>
          <w:b/>
          <w:sz w:val="24"/>
          <w:szCs w:val="24"/>
        </w:rPr>
        <w:t>infrastruktūras</w:t>
      </w:r>
      <w:r w:rsidRPr="007A6B93">
        <w:rPr>
          <w:sz w:val="24"/>
          <w:szCs w:val="24"/>
        </w:rPr>
        <w:t xml:space="preserve"> modernizācija;</w:t>
      </w:r>
    </w:p>
    <w:p w14:paraId="7A07D91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 xml:space="preserve">Atkritumu </w:t>
      </w:r>
      <w:r w:rsidRPr="007A6B93">
        <w:rPr>
          <w:sz w:val="24"/>
          <w:szCs w:val="24"/>
        </w:rPr>
        <w:t>un</w:t>
      </w:r>
      <w:r w:rsidRPr="007A6B93">
        <w:rPr>
          <w:b/>
          <w:sz w:val="24"/>
          <w:szCs w:val="24"/>
        </w:rPr>
        <w:t xml:space="preserve"> notekūdeņu apsaimniekošanas </w:t>
      </w:r>
      <w:r w:rsidRPr="007A6B93">
        <w:rPr>
          <w:sz w:val="24"/>
          <w:szCs w:val="24"/>
        </w:rPr>
        <w:t>efektivitātes uzlabošana un SEG emisiju samazināšana</w:t>
      </w:r>
    </w:p>
    <w:p w14:paraId="1A1FB69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Resursu efektīva izmantošana un SEG emisiju samazināšana </w:t>
      </w:r>
      <w:r w:rsidRPr="007A6B93">
        <w:rPr>
          <w:b/>
          <w:sz w:val="24"/>
          <w:szCs w:val="24"/>
        </w:rPr>
        <w:t>lauksaimniecībā</w:t>
      </w:r>
      <w:r w:rsidRPr="007A6B93">
        <w:rPr>
          <w:sz w:val="24"/>
          <w:szCs w:val="24"/>
        </w:rPr>
        <w:t>;</w:t>
      </w:r>
    </w:p>
    <w:p w14:paraId="4DABE4D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Ilgtspējīga resursu izmantošana un SEG emisiju samazināšana un CO</w:t>
      </w:r>
      <w:r w:rsidRPr="007A6B93">
        <w:rPr>
          <w:sz w:val="24"/>
          <w:szCs w:val="24"/>
          <w:vertAlign w:val="subscript"/>
        </w:rPr>
        <w:t>2</w:t>
      </w:r>
      <w:r w:rsidRPr="007A6B93">
        <w:rPr>
          <w:sz w:val="24"/>
          <w:szCs w:val="24"/>
        </w:rPr>
        <w:t xml:space="preserve"> piesaistes </w:t>
      </w:r>
      <w:r w:rsidRPr="007A6B93">
        <w:rPr>
          <w:b/>
          <w:bCs/>
          <w:sz w:val="24"/>
          <w:szCs w:val="24"/>
        </w:rPr>
        <w:t>palielināšana zemes izmantošanas, zemes izmantošanas maiņas un mežsaimniecības sektorā</w:t>
      </w:r>
      <w:r w:rsidRPr="007A6B93">
        <w:rPr>
          <w:sz w:val="24"/>
          <w:szCs w:val="24"/>
        </w:rPr>
        <w:t xml:space="preserve">; </w:t>
      </w:r>
    </w:p>
    <w:p w14:paraId="5677ECB8"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Fluorēto siltumnīcefekta gāzu (F-gāzu) izmantošanas samazināšanas veicināšana</w:t>
      </w:r>
    </w:p>
    <w:p w14:paraId="51C1210A"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bCs/>
          <w:sz w:val="24"/>
          <w:szCs w:val="24"/>
        </w:rPr>
        <w:t>Nodokļu sistēmas</w:t>
      </w:r>
      <w:r w:rsidRPr="007A6B93">
        <w:rPr>
          <w:sz w:val="24"/>
          <w:szCs w:val="24"/>
        </w:rPr>
        <w:t xml:space="preserve"> “zaļināšana” un draudzīguma pievilcīguma energoefektivitātei un AER tehnoloģijām uzlabošana;</w:t>
      </w:r>
    </w:p>
    <w:p w14:paraId="791D606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Sabiedrības informēšana</w:t>
      </w:r>
      <w:r w:rsidRPr="007A6B93">
        <w:rPr>
          <w:sz w:val="24"/>
          <w:szCs w:val="24"/>
        </w:rPr>
        <w:t>, izglītošana un izpratnes veicināšana.</w:t>
      </w:r>
    </w:p>
    <w:p w14:paraId="7709806D" w14:textId="77777777" w:rsidR="00371318" w:rsidRPr="004826D1" w:rsidRDefault="00371318" w:rsidP="00371318">
      <w:pPr>
        <w:pStyle w:val="ListParagraph1"/>
        <w:spacing w:before="120" w:after="120"/>
        <w:ind w:left="0"/>
        <w:contextualSpacing w:val="0"/>
        <w:jc w:val="both"/>
        <w:rPr>
          <w:rFonts w:cs="Times New Roman"/>
          <w:sz w:val="24"/>
          <w:szCs w:val="24"/>
        </w:rPr>
      </w:pPr>
    </w:p>
    <w:p w14:paraId="4290CA69" w14:textId="011A06F5" w:rsidR="001206B9" w:rsidRPr="004826D1" w:rsidRDefault="000654E1" w:rsidP="001206B9">
      <w:pPr>
        <w:pStyle w:val="Caption"/>
        <w:rPr>
          <w:noProof/>
          <w:sz w:val="24"/>
          <w:szCs w:val="24"/>
        </w:rPr>
      </w:pPr>
      <w:bookmarkStart w:id="47" w:name="_Hlk21087246"/>
      <w:r>
        <w:rPr>
          <w:b w:val="0"/>
          <w:noProof/>
          <w:sz w:val="24"/>
          <w:szCs w:val="24"/>
          <w:lang w:eastAsia="lv-LV"/>
        </w:rPr>
        <w:drawing>
          <wp:inline distT="0" distB="0" distL="0" distR="0" wp14:anchorId="31A38788" wp14:editId="20A1FAAA">
            <wp:extent cx="5524500" cy="2085975"/>
            <wp:effectExtent l="0" t="0" r="0" b="95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2085975"/>
                    </a:xfrm>
                    <a:prstGeom prst="rect">
                      <a:avLst/>
                    </a:prstGeom>
                    <a:noFill/>
                    <a:ln>
                      <a:noFill/>
                    </a:ln>
                  </pic:spPr>
                </pic:pic>
              </a:graphicData>
            </a:graphic>
          </wp:inline>
        </w:drawing>
      </w:r>
    </w:p>
    <w:p w14:paraId="47B1FEE0" w14:textId="2CBA9DC2" w:rsidR="00283985" w:rsidRPr="004826D1" w:rsidRDefault="000654E1" w:rsidP="00B14E6E">
      <w:pPr>
        <w:pStyle w:val="Caption"/>
        <w:jc w:val="left"/>
        <w:rPr>
          <w:sz w:val="24"/>
          <w:szCs w:val="24"/>
        </w:rPr>
      </w:pPr>
      <w:r>
        <w:rPr>
          <w:rFonts w:ascii="Calibri" w:hAnsi="Calibri" w:cs="Calibri"/>
          <w:noProof/>
          <w:lang w:eastAsia="lv-LV"/>
        </w:rPr>
        <w:drawing>
          <wp:inline distT="0" distB="0" distL="0" distR="0" wp14:anchorId="69933CA7" wp14:editId="0B468DCD">
            <wp:extent cx="5629275" cy="2085975"/>
            <wp:effectExtent l="0" t="0" r="9525" b="9525"/>
            <wp:docPr id="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9275" cy="2085975"/>
                    </a:xfrm>
                    <a:prstGeom prst="rect">
                      <a:avLst/>
                    </a:prstGeom>
                    <a:noFill/>
                    <a:ln>
                      <a:noFill/>
                    </a:ln>
                  </pic:spPr>
                </pic:pic>
              </a:graphicData>
            </a:graphic>
          </wp:inline>
        </w:drawing>
      </w:r>
    </w:p>
    <w:p w14:paraId="128BC453" w14:textId="77777777" w:rsidR="00283985" w:rsidRPr="004826D1" w:rsidRDefault="00283985" w:rsidP="00B14E6E">
      <w:pPr>
        <w:pStyle w:val="Caption"/>
        <w:jc w:val="left"/>
        <w:rPr>
          <w:sz w:val="24"/>
          <w:szCs w:val="24"/>
        </w:rPr>
      </w:pPr>
    </w:p>
    <w:p w14:paraId="16F75BAD" w14:textId="77777777" w:rsidR="001206B9" w:rsidRPr="004826D1" w:rsidRDefault="00BA1A52" w:rsidP="00B14E6E">
      <w:pPr>
        <w:pStyle w:val="Caption"/>
        <w:jc w:val="left"/>
        <w:rPr>
          <w:sz w:val="24"/>
          <w:szCs w:val="24"/>
        </w:rPr>
      </w:pPr>
      <w:r>
        <w:rPr>
          <w:sz w:val="24"/>
          <w:szCs w:val="24"/>
        </w:rPr>
        <w:t>3.</w:t>
      </w:r>
      <w:r w:rsidR="00B14E6E" w:rsidRPr="004826D1">
        <w:rPr>
          <w:sz w:val="24"/>
          <w:szCs w:val="24"/>
        </w:rPr>
        <w:t>1</w:t>
      </w:r>
      <w:r w:rsidR="00367DDE">
        <w:rPr>
          <w:sz w:val="24"/>
          <w:szCs w:val="24"/>
        </w:rPr>
        <w:t>0</w:t>
      </w:r>
      <w:r w:rsidR="00B14E6E" w:rsidRPr="004826D1">
        <w:rPr>
          <w:sz w:val="24"/>
          <w:szCs w:val="24"/>
        </w:rPr>
        <w:t>. </w:t>
      </w:r>
      <w:r w:rsidR="001206B9" w:rsidRPr="004826D1">
        <w:rPr>
          <w:sz w:val="24"/>
          <w:szCs w:val="24"/>
        </w:rPr>
        <w:t>attēls. Enerģētikas un klimata politikas virzieni līdz 2030.gadam</w:t>
      </w:r>
    </w:p>
    <w:bookmarkEnd w:id="47"/>
    <w:p w14:paraId="2A84C62E" w14:textId="77777777" w:rsidR="001B3FAF" w:rsidRPr="004826D1" w:rsidRDefault="001B3FAF" w:rsidP="001206B9">
      <w:pPr>
        <w:spacing w:before="120" w:after="120"/>
        <w:jc w:val="both"/>
        <w:rPr>
          <w:rFonts w:cs="Times New Roman"/>
          <w:b/>
          <w:szCs w:val="24"/>
          <w:u w:val="single"/>
        </w:rPr>
      </w:pPr>
    </w:p>
    <w:p w14:paraId="42B38D61" w14:textId="77777777" w:rsidR="00470EF9" w:rsidRPr="007A6B93" w:rsidRDefault="00470EF9" w:rsidP="00470EF9">
      <w:pPr>
        <w:pStyle w:val="Heading31"/>
        <w:rPr>
          <w:rFonts w:ascii="Times New Roman" w:hAnsi="Times New Roman"/>
          <w:szCs w:val="26"/>
          <w:lang w:val="lv-LV"/>
        </w:rPr>
      </w:pPr>
      <w:bookmarkStart w:id="48" w:name="_Toc169602237"/>
      <w:r w:rsidRPr="007A6B93">
        <w:rPr>
          <w:rFonts w:ascii="Times New Roman" w:hAnsi="Times New Roman"/>
          <w:szCs w:val="26"/>
          <w:lang w:val="lv-LV"/>
        </w:rPr>
        <w:lastRenderedPageBreak/>
        <w:t>3.2.2.</w:t>
      </w:r>
      <w:r w:rsidRPr="007A6B93">
        <w:rPr>
          <w:rFonts w:ascii="Times New Roman" w:hAnsi="Times New Roman"/>
          <w:szCs w:val="26"/>
          <w:lang w:val="lv-LV"/>
        </w:rPr>
        <w:tab/>
      </w:r>
      <w:r w:rsidRPr="00470EF9">
        <w:rPr>
          <w:rFonts w:ascii="Times New Roman" w:hAnsi="Times New Roman"/>
          <w:szCs w:val="26"/>
          <w:lang w:val="lv-LV"/>
        </w:rPr>
        <w:t>Plāna bāzes scenārija apraksts un iekļautie pasākumi</w:t>
      </w:r>
      <w:bookmarkEnd w:id="48"/>
    </w:p>
    <w:p w14:paraId="7D43A4B1" w14:textId="77777777" w:rsidR="0068576D" w:rsidRDefault="0068576D" w:rsidP="00D346E7">
      <w:pPr>
        <w:pStyle w:val="Heading31"/>
        <w:spacing w:before="120"/>
        <w:jc w:val="both"/>
        <w:rPr>
          <w:rStyle w:val="normaltextrun"/>
          <w:rFonts w:ascii="Times New Roman" w:hAnsi="Times New Roman"/>
          <w:sz w:val="24"/>
          <w:szCs w:val="24"/>
          <w:lang w:val="lv-LV"/>
        </w:rPr>
      </w:pPr>
    </w:p>
    <w:p w14:paraId="27120E11" w14:textId="77777777" w:rsidR="00D346E7" w:rsidRPr="007A6B93" w:rsidRDefault="00D346E7" w:rsidP="00D346E7">
      <w:pPr>
        <w:pStyle w:val="Heading31"/>
        <w:spacing w:before="120"/>
        <w:jc w:val="both"/>
        <w:rPr>
          <w:rFonts w:ascii="Times New Roman" w:hAnsi="Times New Roman"/>
          <w:sz w:val="24"/>
          <w:szCs w:val="24"/>
          <w:lang w:val="lv-LV"/>
        </w:rPr>
      </w:pPr>
      <w:bookmarkStart w:id="49" w:name="_Toc169602238"/>
      <w:r w:rsidRPr="007A6B93">
        <w:rPr>
          <w:rStyle w:val="normaltextrun"/>
          <w:rFonts w:ascii="Times New Roman" w:hAnsi="Times New Roman"/>
          <w:sz w:val="24"/>
          <w:szCs w:val="24"/>
          <w:lang w:val="lv-LV"/>
        </w:rPr>
        <w:t xml:space="preserve">3.2.2.1. </w:t>
      </w:r>
      <w:r>
        <w:rPr>
          <w:rStyle w:val="normaltextrun"/>
          <w:rFonts w:ascii="Times New Roman" w:hAnsi="Times New Roman"/>
          <w:sz w:val="24"/>
          <w:szCs w:val="24"/>
          <w:lang w:val="lv-LV"/>
        </w:rPr>
        <w:t>Dekarbonizācija</w:t>
      </w:r>
      <w:bookmarkEnd w:id="49"/>
      <w:r w:rsidRPr="007A6B93">
        <w:rPr>
          <w:rStyle w:val="eop"/>
          <w:rFonts w:ascii="Times New Roman" w:hAnsi="Times New Roman"/>
          <w:sz w:val="24"/>
          <w:szCs w:val="24"/>
          <w:lang w:val="lv-LV"/>
        </w:rPr>
        <w:t> </w:t>
      </w:r>
    </w:p>
    <w:p w14:paraId="7AB26E13" w14:textId="04B8AE4B"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scenārijs (scenārijs ar esošajiem pasākumiem (</w:t>
      </w:r>
      <w:r w:rsidRPr="00D346E7">
        <w:rPr>
          <w:rFonts w:eastAsia="Cambria" w:cs="Times New Roman"/>
          <w:i/>
          <w:iCs/>
          <w:szCs w:val="24"/>
          <w:lang w:eastAsia="lv-LV"/>
        </w:rPr>
        <w:t xml:space="preserve">with existing measures </w:t>
      </w:r>
      <w:r w:rsidRPr="00D346E7">
        <w:rPr>
          <w:rFonts w:eastAsia="Cambria" w:cs="Times New Roman"/>
          <w:szCs w:val="24"/>
          <w:lang w:eastAsia="lv-LV"/>
        </w:rPr>
        <w:t>- WEM)) ir saskanīgs</w:t>
      </w:r>
      <w:r w:rsidR="00857535">
        <w:rPr>
          <w:rFonts w:eastAsia="Cambria" w:cs="Times New Roman"/>
          <w:szCs w:val="24"/>
          <w:lang w:eastAsia="lv-LV"/>
        </w:rPr>
        <w:t xml:space="preserve"> </w:t>
      </w:r>
      <w:r w:rsidRPr="00D346E7">
        <w:rPr>
          <w:rFonts w:eastAsia="Cambria" w:cs="Times New Roman"/>
          <w:szCs w:val="24"/>
          <w:lang w:eastAsia="lv-LV"/>
        </w:rPr>
        <w:t>ar</w:t>
      </w:r>
      <w:r w:rsidR="00857535">
        <w:rPr>
          <w:rFonts w:eastAsia="Cambria" w:cs="Times New Roman"/>
          <w:szCs w:val="24"/>
          <w:lang w:eastAsia="lv-LV"/>
        </w:rPr>
        <w:t xml:space="preserve"> </w:t>
      </w:r>
      <w:r w:rsidRPr="00D346E7">
        <w:rPr>
          <w:rFonts w:eastAsia="Cambria" w:cs="Times New Roman"/>
          <w:szCs w:val="24"/>
          <w:lang w:eastAsia="lv-LV"/>
        </w:rPr>
        <w:t>2023. gada Eiropas Komisijā iesniegto integrēto ziņojumu par rīcībpolitikām, pasākumiem un SEG prognozēm, balstoties uz Regulas 2018/1999 18.pantā noteiktām prasībām. Bāzes scenārija prognožu pamatā ir ņemti vērā ieskati attiecībā uz ekonomikas un demogrāfiskajām norisēm, nozaru attīstību, fosilā kurināmā cenām,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cenu un politikām. 2023. gada prognozēm kā bāzes gads izmantots 2020. gads un 2022. gada 14. aprīlī ANO Vispārējās konvencijas par klimata pārmaiņām sekretariātam iesniegtais SEG inventarizācijas ziņojums. Prognozes ir balstītas uz Latvijas apstiprinātajām politikām un pasākumiem līdz 2023.gada 1.janvārim.</w:t>
      </w:r>
    </w:p>
    <w:p w14:paraId="2A35CF2E"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lang w:eastAsia="lv-LV"/>
        </w:rPr>
        <w:t>SEG emisijas Latvijā ir prognozētas 2025., 2030., 2035., 2040. un 2050. gadam. Latvijas SEG emisiju prognozes līdz 2050. gadam ir balstītas uz EM izstrādāt</w:t>
      </w:r>
      <w:r w:rsidR="00202770">
        <w:rPr>
          <w:rFonts w:eastAsia="Cambria" w:cs="Times New Roman"/>
          <w:szCs w:val="24"/>
          <w:lang w:eastAsia="lv-LV"/>
        </w:rPr>
        <w:t>ās</w:t>
      </w:r>
      <w:r w:rsidRPr="00D346E7">
        <w:rPr>
          <w:rFonts w:eastAsia="Cambria" w:cs="Times New Roman"/>
          <w:szCs w:val="24"/>
          <w:lang w:eastAsia="lv-LV"/>
        </w:rPr>
        <w:t xml:space="preserve"> ilgtermiņa makroekonomisk</w:t>
      </w:r>
      <w:r w:rsidR="00202770">
        <w:rPr>
          <w:rFonts w:eastAsia="Cambria" w:cs="Times New Roman"/>
          <w:szCs w:val="24"/>
          <w:lang w:eastAsia="lv-LV"/>
        </w:rPr>
        <w:t>ās</w:t>
      </w:r>
      <w:r w:rsidRPr="00D346E7">
        <w:rPr>
          <w:rFonts w:eastAsia="Cambria" w:cs="Times New Roman"/>
          <w:szCs w:val="24"/>
          <w:lang w:eastAsia="lv-LV"/>
        </w:rPr>
        <w:t xml:space="preserve"> prognoz</w:t>
      </w:r>
      <w:r w:rsidR="00202770">
        <w:rPr>
          <w:rFonts w:eastAsia="Cambria" w:cs="Times New Roman"/>
          <w:szCs w:val="24"/>
          <w:lang w:eastAsia="lv-LV"/>
        </w:rPr>
        <w:t>es</w:t>
      </w:r>
      <w:r w:rsidRPr="00D346E7">
        <w:rPr>
          <w:rFonts w:eastAsia="Cambria" w:cs="Times New Roman"/>
          <w:szCs w:val="24"/>
          <w:lang w:eastAsia="lv-LV"/>
        </w:rPr>
        <w:t>. Kopējās SEG emisijas (neieskaitot ZIZIMM, ieskaitot netiešās CO</w:t>
      </w:r>
      <w:r w:rsidRPr="00D346E7">
        <w:rPr>
          <w:rFonts w:eastAsia="Cambria" w:cs="Times New Roman"/>
          <w:szCs w:val="24"/>
          <w:vertAlign w:val="subscript"/>
          <w:lang w:eastAsia="lv-LV"/>
        </w:rPr>
        <w:t>2</w:t>
      </w:r>
      <w:r w:rsidRPr="00D346E7">
        <w:rPr>
          <w:rFonts w:eastAsia="Cambria" w:cs="Times New Roman"/>
          <w:szCs w:val="24"/>
          <w:lang w:eastAsia="lv-LV"/>
        </w:rPr>
        <w:t xml:space="preserve"> emisijas) saskaņā ar bāzes scenāriju 2030. gadā samazinās par 7,1%. </w:t>
      </w:r>
      <w:r w:rsidRPr="00D346E7">
        <w:rPr>
          <w:rFonts w:eastAsia="Cambria" w:cs="Times New Roman"/>
          <w:szCs w:val="24"/>
        </w:rPr>
        <w:t>Ne-ETS darbību SEG emisiju dinamika liecina par 1,9% samazinājumu 2005.-2030.gadā</w:t>
      </w:r>
      <w:r w:rsidRPr="00D346E7">
        <w:rPr>
          <w:rStyle w:val="FootnoteReference"/>
          <w:rFonts w:eastAsia="Cambria"/>
          <w:szCs w:val="24"/>
        </w:rPr>
        <w:footnoteReference w:id="42"/>
      </w:r>
      <w:r w:rsidRPr="00D346E7">
        <w:rPr>
          <w:rFonts w:eastAsia="Cambria" w:cs="Times New Roman"/>
          <w:szCs w:val="24"/>
        </w:rPr>
        <w:t>. Kopš 2005.gada ne-ETS darbību SEG emisijas pieaugušas RPPI (60,2 %), lauksaimniecības (22,5 %) un transporta (1,8 %) sektorā 2030.gadā, savukārt samazinājušās mājsaimniecības (32,7 %), citas ne-ETS enerģētikas (enerģētikas nozares zem 20 MW) (10,7 %) un atkritumu apsaimniekošanas (39,4 %) sektoros.</w:t>
      </w:r>
    </w:p>
    <w:p w14:paraId="6D59F059" w14:textId="77777777" w:rsid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Visu sektoru SEG emisijas un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piesaiste aprēķinātas saskaņā ar Klimata pārmaiņu starpvaldību padomes (KPSP) vadlīnijām un sektorālo ministriju iesniegtiem aktivitāšu datiem saskaņā ar 2022. gada 25. oktobra Ministru kabineta noteikumiem Nr. 675 “Siltumnīcefekta gāzu inventarizācijas sistēmas, prognožu sistēmas un sistēmas ziņošanai par pielāgošanos klimata pārmaiņām izveidošanas un uzturēšanas kārtība” 5. pielikumu.</w:t>
      </w:r>
    </w:p>
    <w:p w14:paraId="2E6681F7" w14:textId="77777777" w:rsidR="0068576D" w:rsidRDefault="0068576D" w:rsidP="00D346E7">
      <w:pPr>
        <w:pStyle w:val="Heading31"/>
        <w:spacing w:before="120"/>
        <w:jc w:val="both"/>
        <w:rPr>
          <w:rStyle w:val="normaltextrun"/>
          <w:rFonts w:ascii="Times New Roman" w:hAnsi="Times New Roman"/>
          <w:sz w:val="24"/>
          <w:szCs w:val="24"/>
          <w:lang w:val="lv-LV"/>
        </w:rPr>
      </w:pPr>
      <w:bookmarkStart w:id="50" w:name="_Toc147389931"/>
      <w:bookmarkStart w:id="51" w:name="_Toc147392412"/>
      <w:bookmarkStart w:id="52" w:name="_Toc147394712"/>
      <w:bookmarkStart w:id="53" w:name="_Toc148528049"/>
      <w:bookmarkStart w:id="54" w:name="_Toc149143805"/>
      <w:bookmarkStart w:id="55" w:name="_Toc149905920"/>
      <w:bookmarkStart w:id="56" w:name="_Toc149906153"/>
      <w:bookmarkStart w:id="57" w:name="_Toc150357184"/>
      <w:bookmarkStart w:id="58" w:name="_Toc151106388"/>
    </w:p>
    <w:p w14:paraId="2D94AF7B" w14:textId="77777777" w:rsidR="00D346E7" w:rsidRPr="007A6B93" w:rsidRDefault="00D346E7" w:rsidP="00D346E7">
      <w:pPr>
        <w:pStyle w:val="Heading31"/>
        <w:spacing w:before="120"/>
        <w:jc w:val="both"/>
        <w:rPr>
          <w:rFonts w:ascii="Times New Roman" w:hAnsi="Times New Roman"/>
          <w:sz w:val="24"/>
          <w:szCs w:val="24"/>
          <w:lang w:val="lv-LV"/>
        </w:rPr>
      </w:pPr>
      <w:bookmarkStart w:id="59" w:name="_Toc169602239"/>
      <w:r w:rsidRPr="007A6B93">
        <w:rPr>
          <w:rStyle w:val="normaltextrun"/>
          <w:rFonts w:ascii="Times New Roman" w:hAnsi="Times New Roman"/>
          <w:sz w:val="24"/>
          <w:szCs w:val="24"/>
          <w:lang w:val="lv-LV"/>
        </w:rPr>
        <w:t>3.2.2.</w:t>
      </w:r>
      <w:r>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Enerģētika</w:t>
      </w:r>
      <w:bookmarkEnd w:id="59"/>
    </w:p>
    <w:bookmarkEnd w:id="50"/>
    <w:bookmarkEnd w:id="51"/>
    <w:bookmarkEnd w:id="52"/>
    <w:bookmarkEnd w:id="53"/>
    <w:bookmarkEnd w:id="54"/>
    <w:bookmarkEnd w:id="55"/>
    <w:bookmarkEnd w:id="56"/>
    <w:bookmarkEnd w:id="57"/>
    <w:bookmarkEnd w:id="58"/>
    <w:p w14:paraId="3C1CD7DA"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Bāzes scenārijā tiek iekļauta ietekme no </w:t>
      </w:r>
      <w:r>
        <w:rPr>
          <w:rFonts w:eastAsia="Cambria" w:cs="Times New Roman"/>
          <w:szCs w:val="24"/>
          <w:lang w:eastAsia="lv-LV"/>
        </w:rPr>
        <w:t>šād</w:t>
      </w:r>
      <w:r w:rsidRPr="00D346E7">
        <w:rPr>
          <w:rFonts w:eastAsia="Cambria" w:cs="Times New Roman"/>
          <w:szCs w:val="24"/>
          <w:lang w:eastAsia="lv-LV"/>
        </w:rPr>
        <w:t>ie</w:t>
      </w:r>
      <w:r>
        <w:rPr>
          <w:rFonts w:eastAsia="Cambria" w:cs="Times New Roman"/>
          <w:szCs w:val="24"/>
          <w:lang w:eastAsia="lv-LV"/>
        </w:rPr>
        <w:t>m</w:t>
      </w:r>
      <w:r w:rsidRPr="00D346E7">
        <w:rPr>
          <w:rFonts w:eastAsia="Cambria" w:cs="Times New Roman"/>
          <w:szCs w:val="24"/>
          <w:lang w:eastAsia="lv-LV"/>
        </w:rPr>
        <w:t xml:space="preserve"> pasākumiem:</w:t>
      </w:r>
    </w:p>
    <w:p w14:paraId="39919BB0"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Energoefektivitātes prasības centralizētās siltumapgādes sistēmām;</w:t>
      </w:r>
    </w:p>
    <w:p w14:paraId="220E9272"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Ēku energosertifikācija un ēku energoefektivitātes prasības atbilstoši Ēku energoefektivitātes likumam un saskaņā ar to izdotajiem Ministru kabineta noteikumiem, un Latvijas būvnormatīvam LBN002-19 “Ēku norobežojošo konstrukciju siltumtehnika”;</w:t>
      </w:r>
    </w:p>
    <w:p w14:paraId="2414DB49" w14:textId="7A8E6C16"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Dzīvojamo ēku</w:t>
      </w:r>
      <w:r w:rsidR="00857535">
        <w:rPr>
          <w:rFonts w:eastAsia="Cambria" w:cs="Times New Roman"/>
          <w:szCs w:val="24"/>
        </w:rPr>
        <w:t xml:space="preserve"> </w:t>
      </w:r>
      <w:r w:rsidRPr="00D346E7">
        <w:rPr>
          <w:rFonts w:eastAsia="Cambria" w:cs="Times New Roman"/>
          <w:szCs w:val="24"/>
        </w:rPr>
        <w:t>iedzīvotāju informēšana: informatīvā programma</w:t>
      </w:r>
      <w:r w:rsidR="00857535">
        <w:rPr>
          <w:rFonts w:eastAsia="Cambria" w:cs="Times New Roman"/>
          <w:szCs w:val="24"/>
        </w:rPr>
        <w:t xml:space="preserve"> </w:t>
      </w:r>
      <w:r w:rsidRPr="00D346E7">
        <w:rPr>
          <w:rFonts w:eastAsia="Cambria" w:cs="Times New Roman"/>
          <w:szCs w:val="24"/>
        </w:rPr>
        <w:t>“Dzīvo siltāk”, daudzdzīvokļu ēku energoauditi;</w:t>
      </w:r>
    </w:p>
    <w:p w14:paraId="4F2D3804"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color w:val="FF0000"/>
          <w:szCs w:val="24"/>
        </w:rPr>
      </w:pPr>
      <w:r w:rsidRPr="00D346E7">
        <w:rPr>
          <w:rFonts w:eastAsia="Cambria" w:cs="Times New Roman"/>
          <w:szCs w:val="24"/>
        </w:rPr>
        <w:t>Ierīču enerģijas patēriņa marķēšana;</w:t>
      </w:r>
    </w:p>
    <w:p w14:paraId="14CAC9A6"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Elektroenerģijas nodoklis;</w:t>
      </w:r>
    </w:p>
    <w:p w14:paraId="42A690C3"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trike/>
          <w:color w:val="C0504D"/>
          <w:szCs w:val="24"/>
        </w:rPr>
      </w:pPr>
      <w:r w:rsidRPr="00D346E7">
        <w:rPr>
          <w:rFonts w:eastAsia="Cambria" w:cs="Times New Roman"/>
          <w:szCs w:val="24"/>
        </w:rPr>
        <w:t>Nodoklis par CO</w:t>
      </w:r>
      <w:r w:rsidRPr="00D346E7">
        <w:rPr>
          <w:rFonts w:eastAsia="Cambria" w:cs="Times New Roman"/>
          <w:szCs w:val="24"/>
          <w:vertAlign w:val="subscript"/>
        </w:rPr>
        <w:t>2</w:t>
      </w:r>
      <w:r w:rsidRPr="00D346E7">
        <w:rPr>
          <w:rFonts w:eastAsia="Cambria" w:cs="Times New Roman"/>
          <w:szCs w:val="24"/>
        </w:rPr>
        <w:t xml:space="preserve"> emisiju; </w:t>
      </w:r>
    </w:p>
    <w:p w14:paraId="0B0C702B"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b/>
          <w:strike/>
          <w:szCs w:val="24"/>
        </w:rPr>
      </w:pPr>
      <w:r w:rsidRPr="00D346E7">
        <w:rPr>
          <w:rFonts w:eastAsia="Cambria" w:cs="Times New Roman"/>
          <w:szCs w:val="24"/>
        </w:rPr>
        <w:t>Enerģijas ražošanai izmantoto kurināmo aplikšana ar nodokli ;</w:t>
      </w:r>
    </w:p>
    <w:p w14:paraId="7737E79A"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 centralizētās siltumapgādes sistēmām;</w:t>
      </w:r>
    </w:p>
    <w:p w14:paraId="36BCF1D0"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apstrādes rūpniecības nozarē, lai veicinātu energoefektivitāti un AER izmantošanu;</w:t>
      </w:r>
    </w:p>
    <w:p w14:paraId="09957D93"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energoefektivitātes paaugstināšanai daudzdzīvokļu mājās;</w:t>
      </w:r>
    </w:p>
    <w:p w14:paraId="46FF2F0B"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lastRenderedPageBreak/>
        <w:t>Investīciju atbalsta programmas energoefektivitātes paaugstināšanai valsts ēkās;</w:t>
      </w:r>
    </w:p>
    <w:p w14:paraId="46BC8D24"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energoefektivitātes paaugstināšanai pašvaldību ēkās;</w:t>
      </w:r>
    </w:p>
    <w:p w14:paraId="4A7F773E"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energoefektivitātes paaugstināšanai vispārējās un profesionālās izglītības iestādēs;</w:t>
      </w:r>
    </w:p>
    <w:p w14:paraId="170E6536" w14:textId="4D7AE7A2"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Emisiju kvotu izsolīšanas instrumenta (EKII) investīciju atbalsta programmas SEG emisiju samazināšanai publiskajā sektorā;</w:t>
      </w:r>
      <w:r w:rsidR="00857535">
        <w:rPr>
          <w:rFonts w:eastAsia="Cambria" w:cs="Times New Roman"/>
          <w:szCs w:val="24"/>
        </w:rPr>
        <w:t xml:space="preserve"> </w:t>
      </w:r>
    </w:p>
    <w:p w14:paraId="1E4D7A5F" w14:textId="6770DFD2"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AER izmantojošu tehnoloģiju ieviešanai</w:t>
      </w:r>
      <w:r w:rsidR="00857535">
        <w:rPr>
          <w:rFonts w:eastAsia="Cambria" w:cs="Times New Roman"/>
          <w:szCs w:val="24"/>
        </w:rPr>
        <w:t xml:space="preserve"> </w:t>
      </w:r>
      <w:r w:rsidRPr="00D346E7">
        <w:rPr>
          <w:rFonts w:eastAsia="Cambria" w:cs="Times New Roman"/>
          <w:szCs w:val="24"/>
        </w:rPr>
        <w:t>viena dzīvokļa, divu dzīvokļu un rindu mājās;</w:t>
      </w:r>
    </w:p>
    <w:p w14:paraId="1D5C595E"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ES emisijas kvotu tirdzniecības sistēma</w:t>
      </w:r>
      <w:r w:rsidRPr="00D346E7">
        <w:rPr>
          <w:rFonts w:eastAsia="Cambria" w:cs="Times New Roman"/>
          <w:b/>
          <w:szCs w:val="24"/>
        </w:rPr>
        <w:t>;</w:t>
      </w:r>
    </w:p>
    <w:p w14:paraId="7ADD303B"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 xml:space="preserve">Energopārvaldības prasības/sistēmas lielajiem uzņēmumiem un lielajiem elektroenerģijas patērētājiem; </w:t>
      </w:r>
    </w:p>
    <w:p w14:paraId="12903369"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 xml:space="preserve">Energopārvaldības sistēmas publiskajā sektorā; </w:t>
      </w:r>
    </w:p>
    <w:p w14:paraId="4110ECE1"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 saules PV tehnoloģijām;</w:t>
      </w:r>
    </w:p>
    <w:p w14:paraId="415C543F"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Zaļais publiskais iepirkums.</w:t>
      </w:r>
    </w:p>
    <w:p w14:paraId="0E18CCEE" w14:textId="7FFAB238" w:rsidR="00D346E7" w:rsidRDefault="00D346E7" w:rsidP="00D346E7">
      <w:pPr>
        <w:spacing w:before="120" w:after="120"/>
        <w:jc w:val="both"/>
        <w:rPr>
          <w:rFonts w:eastAsia="Cambria" w:cs="Times New Roman"/>
          <w:color w:val="000000"/>
          <w:szCs w:val="24"/>
          <w:lang w:eastAsia="lv-LV"/>
        </w:rPr>
      </w:pPr>
      <w:r w:rsidRPr="00D346E7">
        <w:rPr>
          <w:rFonts w:eastAsia="Cambria" w:cs="Times New Roman"/>
          <w:szCs w:val="24"/>
          <w:lang w:eastAsia="lv-LV"/>
        </w:rPr>
        <w:t xml:space="preserve">Bāzes scenārijam aprēķinātās kopējās enerģētikas sektora SEG emisiju prognozes </w:t>
      </w:r>
      <w:r w:rsidR="00367DDE">
        <w:rPr>
          <w:rFonts w:eastAsia="Cambria" w:cs="Times New Roman"/>
          <w:szCs w:val="24"/>
          <w:lang w:eastAsia="lv-LV"/>
        </w:rPr>
        <w:t>(skat. 3.11</w:t>
      </w:r>
      <w:r w:rsidR="00BA1A52">
        <w:rPr>
          <w:rFonts w:eastAsia="Cambria" w:cs="Times New Roman"/>
          <w:szCs w:val="24"/>
          <w:lang w:eastAsia="lv-LV"/>
        </w:rPr>
        <w:t xml:space="preserve">. att.) </w:t>
      </w:r>
      <w:r w:rsidRPr="00D346E7">
        <w:rPr>
          <w:rFonts w:eastAsia="Cambria" w:cs="Times New Roman"/>
          <w:szCs w:val="24"/>
          <w:lang w:eastAsia="lv-LV"/>
        </w:rPr>
        <w:t>2030.</w:t>
      </w:r>
      <w:r>
        <w:rPr>
          <w:rFonts w:eastAsia="Cambria" w:cs="Times New Roman"/>
          <w:szCs w:val="24"/>
          <w:lang w:eastAsia="lv-LV"/>
        </w:rPr>
        <w:t> </w:t>
      </w:r>
      <w:r w:rsidRPr="00D346E7">
        <w:rPr>
          <w:rFonts w:eastAsia="Cambria" w:cs="Times New Roman"/>
          <w:szCs w:val="24"/>
          <w:lang w:eastAsia="lv-LV"/>
        </w:rPr>
        <w:t>gadam ir par</w:t>
      </w:r>
      <w:r w:rsidR="00857535">
        <w:rPr>
          <w:rFonts w:eastAsia="Cambria" w:cs="Times New Roman"/>
          <w:szCs w:val="24"/>
          <w:lang w:eastAsia="lv-LV"/>
        </w:rPr>
        <w:t xml:space="preserve"> </w:t>
      </w:r>
      <w:r w:rsidRPr="00D346E7">
        <w:rPr>
          <w:rFonts w:eastAsia="Cambria" w:cs="Times New Roman"/>
          <w:color w:val="000000"/>
          <w:szCs w:val="24"/>
          <w:lang w:eastAsia="lv-LV"/>
        </w:rPr>
        <w:t xml:space="preserve">38 % mazākas </w:t>
      </w:r>
      <w:r>
        <w:rPr>
          <w:rFonts w:eastAsia="Cambria" w:cs="Times New Roman"/>
          <w:color w:val="000000"/>
          <w:szCs w:val="24"/>
          <w:lang w:eastAsia="lv-LV"/>
        </w:rPr>
        <w:t>ne</w:t>
      </w:r>
      <w:r w:rsidRPr="00D346E7">
        <w:rPr>
          <w:rFonts w:eastAsia="Cambria" w:cs="Times New Roman"/>
          <w:color w:val="000000"/>
          <w:szCs w:val="24"/>
          <w:lang w:eastAsia="lv-LV"/>
        </w:rPr>
        <w:t>kā 2005.</w:t>
      </w:r>
      <w:r>
        <w:rPr>
          <w:rFonts w:eastAsia="Cambria" w:cs="Times New Roman"/>
          <w:color w:val="000000"/>
          <w:szCs w:val="24"/>
          <w:lang w:eastAsia="lv-LV"/>
        </w:rPr>
        <w:t> </w:t>
      </w:r>
      <w:r w:rsidRPr="00D346E7">
        <w:rPr>
          <w:rFonts w:eastAsia="Cambria" w:cs="Times New Roman"/>
          <w:color w:val="000000"/>
          <w:szCs w:val="24"/>
          <w:lang w:eastAsia="lv-LV"/>
        </w:rPr>
        <w:t>gadā.</w:t>
      </w:r>
      <w:r w:rsidRPr="00D346E7">
        <w:rPr>
          <w:rFonts w:cs="Times New Roman"/>
          <w:szCs w:val="24"/>
        </w:rPr>
        <w:t xml:space="preserve"> </w:t>
      </w:r>
      <w:r w:rsidRPr="00D346E7">
        <w:rPr>
          <w:rFonts w:eastAsia="Cambria" w:cs="Times New Roman"/>
          <w:color w:val="000000"/>
          <w:szCs w:val="24"/>
          <w:lang w:eastAsia="lv-LV"/>
        </w:rPr>
        <w:t>SEG emisiju samazināšanās notiek visos apakšsektoros.</w:t>
      </w:r>
      <w:r w:rsidRPr="00D346E7">
        <w:rPr>
          <w:rFonts w:cs="Times New Roman"/>
          <w:szCs w:val="24"/>
        </w:rPr>
        <w:t xml:space="preserve"> V</w:t>
      </w:r>
      <w:r w:rsidRPr="00D346E7">
        <w:rPr>
          <w:rFonts w:eastAsia="Cambria" w:cs="Times New Roman"/>
          <w:color w:val="000000"/>
          <w:szCs w:val="24"/>
          <w:lang w:eastAsia="lv-LV"/>
        </w:rPr>
        <w:t>ēja un saules enerģijas izmantošanas palielināšanas dēļ elektroenerģijas ražošanā, SEG emisijas pārveidošanas sektorā 2030.gadā ir par 8,4% mazākas kā 2020.gadā. Jāatzīmē, ka enerģijas pārveidošanas sektora uzņēmumus, kā arī rūpniecības uzņēmumus ietekmē arī prognozētā CO</w:t>
      </w:r>
      <w:r w:rsidRPr="00D346E7">
        <w:rPr>
          <w:rFonts w:eastAsia="Cambria" w:cs="Times New Roman"/>
          <w:color w:val="000000"/>
          <w:szCs w:val="24"/>
          <w:vertAlign w:val="subscript"/>
          <w:lang w:eastAsia="lv-LV"/>
        </w:rPr>
        <w:t>2</w:t>
      </w:r>
      <w:r w:rsidRPr="00D346E7">
        <w:rPr>
          <w:rFonts w:eastAsia="Cambria" w:cs="Times New Roman"/>
          <w:color w:val="000000"/>
          <w:szCs w:val="24"/>
          <w:lang w:eastAsia="lv-LV"/>
        </w:rPr>
        <w:t xml:space="preserve"> cenas izmaiņas tendence ES ETS sistēmā. Rūpniecībā tiek plānoti pasākumi pārejai no fosilā kurināmā izmantošanas uz AER, galvenokārt biomasu. Līdz ar to aprēķinātās SEG emisijas sektorā 2030.gadam ir par 31 % mazākas </w:t>
      </w:r>
      <w:r w:rsidR="003C66F3">
        <w:rPr>
          <w:rFonts w:eastAsia="Cambria" w:cs="Times New Roman"/>
          <w:color w:val="000000"/>
          <w:szCs w:val="24"/>
          <w:lang w:eastAsia="lv-LV"/>
        </w:rPr>
        <w:t>ne</w:t>
      </w:r>
      <w:r w:rsidRPr="00D346E7">
        <w:rPr>
          <w:rFonts w:eastAsia="Cambria" w:cs="Times New Roman"/>
          <w:color w:val="000000"/>
          <w:szCs w:val="24"/>
          <w:lang w:eastAsia="lv-LV"/>
        </w:rPr>
        <w:t>kā 2020.gadā.</w:t>
      </w:r>
    </w:p>
    <w:p w14:paraId="687A8A58" w14:textId="77777777" w:rsidR="0068576D" w:rsidRPr="00D346E7" w:rsidRDefault="0068576D" w:rsidP="00D346E7">
      <w:pPr>
        <w:spacing w:before="120" w:after="120"/>
        <w:jc w:val="both"/>
        <w:rPr>
          <w:rFonts w:eastAsia="Cambria" w:cs="Times New Roman"/>
          <w:color w:val="000000"/>
          <w:szCs w:val="24"/>
          <w:lang w:eastAsia="lv-LV"/>
        </w:rPr>
      </w:pPr>
    </w:p>
    <w:p w14:paraId="401A418A" w14:textId="001D73DD"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508AC11D" wp14:editId="4941E5E6">
            <wp:extent cx="4143375" cy="2771775"/>
            <wp:effectExtent l="0" t="0" r="9525" b="9525"/>
            <wp:docPr id="12" name="Picture 203843625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436259" descr="A graph with different colored bar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3375" cy="2771775"/>
                    </a:xfrm>
                    <a:prstGeom prst="rect">
                      <a:avLst/>
                    </a:prstGeom>
                    <a:noFill/>
                    <a:ln>
                      <a:noFill/>
                    </a:ln>
                  </pic:spPr>
                </pic:pic>
              </a:graphicData>
            </a:graphic>
          </wp:inline>
        </w:drawing>
      </w:r>
    </w:p>
    <w:p w14:paraId="4A51105E" w14:textId="7E88DC65" w:rsidR="00D346E7" w:rsidRPr="00D346E7" w:rsidRDefault="00BA1A52" w:rsidP="00202770">
      <w:pPr>
        <w:pStyle w:val="Caption"/>
        <w:jc w:val="left"/>
        <w:rPr>
          <w:rFonts w:eastAsia="Cambria"/>
          <w:bCs/>
          <w:sz w:val="24"/>
          <w:szCs w:val="24"/>
        </w:rPr>
      </w:pPr>
      <w:r>
        <w:rPr>
          <w:rFonts w:eastAsia="Cambria"/>
          <w:sz w:val="24"/>
          <w:szCs w:val="24"/>
        </w:rPr>
        <w:t>3.</w:t>
      </w:r>
      <w:r w:rsidR="00367DDE">
        <w:rPr>
          <w:rFonts w:eastAsia="Cambria"/>
          <w:sz w:val="24"/>
          <w:szCs w:val="24"/>
        </w:rPr>
        <w:t>11</w:t>
      </w:r>
      <w:r w:rsidR="00D346E7" w:rsidRPr="00D346E7">
        <w:rPr>
          <w:sz w:val="24"/>
          <w:szCs w:val="24"/>
        </w:rPr>
        <w:t>.</w:t>
      </w:r>
      <w:r w:rsidR="00D346E7" w:rsidRPr="00D346E7">
        <w:rPr>
          <w:rFonts w:eastAsia="Cambria"/>
          <w:sz w:val="24"/>
          <w:szCs w:val="24"/>
        </w:rPr>
        <w:t>attēls.</w:t>
      </w:r>
      <w:r w:rsidR="00857535">
        <w:rPr>
          <w:rFonts w:eastAsia="Cambria"/>
          <w:sz w:val="24"/>
          <w:szCs w:val="24"/>
        </w:rPr>
        <w:t xml:space="preserve"> </w:t>
      </w:r>
      <w:r w:rsidR="00D346E7" w:rsidRPr="00D346E7">
        <w:rPr>
          <w:rFonts w:eastAsia="Cambria"/>
          <w:bCs/>
          <w:iCs w:val="0"/>
          <w:sz w:val="24"/>
          <w:szCs w:val="24"/>
        </w:rPr>
        <w:t>Ne-ETS enerģētikas sektora SEG emisijas 2005.-2030.gadā (kt CO</w:t>
      </w:r>
      <w:r w:rsidR="00D346E7" w:rsidRPr="00D346E7">
        <w:rPr>
          <w:rFonts w:eastAsia="Cambria"/>
          <w:bCs/>
          <w:iCs w:val="0"/>
          <w:sz w:val="24"/>
          <w:szCs w:val="24"/>
          <w:vertAlign w:val="subscript"/>
        </w:rPr>
        <w:t>2</w:t>
      </w:r>
      <w:r w:rsidR="00D346E7" w:rsidRPr="00D346E7">
        <w:rPr>
          <w:rFonts w:eastAsia="Cambria"/>
          <w:bCs/>
          <w:iCs w:val="0"/>
          <w:sz w:val="24"/>
          <w:szCs w:val="24"/>
        </w:rPr>
        <w:t xml:space="preserve"> ekv.)</w:t>
      </w:r>
    </w:p>
    <w:p w14:paraId="22EDB9B2" w14:textId="77777777" w:rsidR="00444F6A" w:rsidRDefault="00444F6A" w:rsidP="00D346E7">
      <w:pPr>
        <w:pStyle w:val="Heading2"/>
        <w:keepLines/>
        <w:numPr>
          <w:ilvl w:val="1"/>
          <w:numId w:val="0"/>
        </w:numPr>
        <w:spacing w:before="120" w:after="120"/>
        <w:ind w:left="340" w:hanging="340"/>
        <w:rPr>
          <w:rFonts w:ascii="Times New Roman" w:hAnsi="Times New Roman"/>
          <w:sz w:val="24"/>
          <w:szCs w:val="24"/>
        </w:rPr>
      </w:pPr>
      <w:bookmarkStart w:id="60" w:name="_Toc147389932"/>
      <w:bookmarkStart w:id="61" w:name="_Toc147392413"/>
      <w:bookmarkStart w:id="62" w:name="_Toc147394713"/>
      <w:bookmarkStart w:id="63" w:name="_Toc148528050"/>
      <w:bookmarkStart w:id="64" w:name="_Toc149143806"/>
      <w:bookmarkStart w:id="65" w:name="_Toc149905921"/>
      <w:bookmarkStart w:id="66" w:name="_Toc149906154"/>
      <w:bookmarkStart w:id="67" w:name="_Toc150357185"/>
      <w:bookmarkStart w:id="68" w:name="_Toc151106389"/>
    </w:p>
    <w:p w14:paraId="14F9A973" w14:textId="77777777" w:rsidR="0068576D" w:rsidRPr="00D346E7" w:rsidRDefault="0068576D" w:rsidP="0068576D">
      <w:pPr>
        <w:spacing w:before="120" w:after="120"/>
        <w:jc w:val="both"/>
        <w:rPr>
          <w:rFonts w:cs="Times New Roman"/>
          <w:szCs w:val="24"/>
        </w:rPr>
      </w:pPr>
      <w:r w:rsidRPr="00D346E7">
        <w:rPr>
          <w:rFonts w:eastAsia="Cambria" w:cs="Times New Roman"/>
          <w:szCs w:val="24"/>
        </w:rPr>
        <w:t>Tā kā SEG emisiju samazinošie mērķi ir noteikti ne-ETS sektoram, tad, apskatot ne-ETS enerģētiku (mazā enerģētika (enerģētikas nozares zem 20 MW)</w:t>
      </w:r>
      <w:r w:rsidRPr="00D346E7">
        <w:rPr>
          <w:rFonts w:cs="Times New Roman"/>
          <w:szCs w:val="24"/>
        </w:rPr>
        <w:t xml:space="preserve"> </w:t>
      </w:r>
      <w:r w:rsidRPr="00D346E7">
        <w:rPr>
          <w:rFonts w:eastAsia="Cambria" w:cs="Times New Roman"/>
          <w:szCs w:val="24"/>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w:t>
      </w:r>
      <w:r>
        <w:rPr>
          <w:rFonts w:eastAsia="Cambria" w:cs="Times New Roman"/>
          <w:szCs w:val="24"/>
        </w:rPr>
        <w:t> </w:t>
      </w:r>
      <w:r w:rsidRPr="00D346E7">
        <w:rPr>
          <w:rFonts w:eastAsia="Cambria" w:cs="Times New Roman"/>
          <w:szCs w:val="24"/>
        </w:rPr>
        <w:t xml:space="preserve">gadam ir par 17 % mazākas </w:t>
      </w:r>
      <w:r>
        <w:rPr>
          <w:rFonts w:eastAsia="Cambria" w:cs="Times New Roman"/>
          <w:szCs w:val="24"/>
        </w:rPr>
        <w:t>ne</w:t>
      </w:r>
      <w:r w:rsidRPr="00D346E7">
        <w:rPr>
          <w:rFonts w:eastAsia="Cambria" w:cs="Times New Roman"/>
          <w:szCs w:val="24"/>
        </w:rPr>
        <w:t>kā 2005.</w:t>
      </w:r>
      <w:r>
        <w:rPr>
          <w:rFonts w:eastAsia="Cambria" w:cs="Times New Roman"/>
          <w:szCs w:val="24"/>
        </w:rPr>
        <w:t> </w:t>
      </w:r>
      <w:r w:rsidRPr="00D346E7">
        <w:rPr>
          <w:rFonts w:eastAsia="Cambria" w:cs="Times New Roman"/>
          <w:szCs w:val="24"/>
        </w:rPr>
        <w:t xml:space="preserve">gadā. </w:t>
      </w:r>
    </w:p>
    <w:p w14:paraId="48E654B4" w14:textId="77777777" w:rsidR="0068576D" w:rsidRPr="0068576D" w:rsidRDefault="0068576D" w:rsidP="0068576D">
      <w:pPr>
        <w:rPr>
          <w:lang w:val="en-GB" w:eastAsia="en-GB"/>
        </w:rPr>
      </w:pPr>
    </w:p>
    <w:p w14:paraId="474C5282" w14:textId="77777777" w:rsidR="00444F6A" w:rsidRPr="007A6B93" w:rsidRDefault="00444F6A" w:rsidP="00444F6A">
      <w:pPr>
        <w:pStyle w:val="Heading31"/>
        <w:spacing w:before="120"/>
        <w:jc w:val="both"/>
        <w:rPr>
          <w:rFonts w:ascii="Times New Roman" w:hAnsi="Times New Roman"/>
          <w:sz w:val="24"/>
          <w:szCs w:val="24"/>
          <w:lang w:val="lv-LV"/>
        </w:rPr>
      </w:pPr>
      <w:bookmarkStart w:id="69" w:name="_Toc169602240"/>
      <w:r w:rsidRPr="007A6B93">
        <w:rPr>
          <w:rStyle w:val="normaltextrun"/>
          <w:rFonts w:ascii="Times New Roman" w:hAnsi="Times New Roman"/>
          <w:sz w:val="24"/>
          <w:szCs w:val="24"/>
          <w:lang w:val="lv-LV"/>
        </w:rPr>
        <w:lastRenderedPageBreak/>
        <w:t>3.2.2.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Transports</w:t>
      </w:r>
      <w:bookmarkEnd w:id="69"/>
      <w:r w:rsidRPr="007A6B93">
        <w:rPr>
          <w:rStyle w:val="eop"/>
          <w:rFonts w:ascii="Times New Roman" w:hAnsi="Times New Roman"/>
          <w:sz w:val="24"/>
          <w:szCs w:val="24"/>
          <w:lang w:val="lv-LV"/>
        </w:rPr>
        <w:t> </w:t>
      </w:r>
    </w:p>
    <w:bookmarkEnd w:id="60"/>
    <w:bookmarkEnd w:id="61"/>
    <w:bookmarkEnd w:id="62"/>
    <w:bookmarkEnd w:id="63"/>
    <w:bookmarkEnd w:id="64"/>
    <w:bookmarkEnd w:id="65"/>
    <w:bookmarkEnd w:id="66"/>
    <w:bookmarkEnd w:id="67"/>
    <w:bookmarkEnd w:id="68"/>
    <w:p w14:paraId="56062C40" w14:textId="7CD74678" w:rsidR="00D346E7" w:rsidRPr="00D346E7" w:rsidRDefault="00D346E7" w:rsidP="00D346E7">
      <w:pPr>
        <w:spacing w:before="120" w:after="120"/>
        <w:jc w:val="both"/>
        <w:rPr>
          <w:rFonts w:eastAsia="Cambria" w:cs="Times New Roman"/>
          <w:szCs w:val="24"/>
        </w:rPr>
      </w:pPr>
      <w:r w:rsidRPr="00D346E7">
        <w:rPr>
          <w:rFonts w:eastAsia="Cambria" w:cs="Times New Roman"/>
          <w:szCs w:val="24"/>
        </w:rPr>
        <w:t>Latvijā autotransports spēlē nozīmīgāko lomu pasažieru un iekšējos kravas pārvadājumos un līdz ar to sastāda lielāko daļu no kopējā enerģijas patēriņa transportā un veido apmēram 97% no kopējām SEG emisijām transportā 2021.gadā.</w:t>
      </w:r>
      <w:r w:rsidR="00857535">
        <w:rPr>
          <w:rFonts w:eastAsia="Cambria" w:cs="Times New Roman"/>
          <w:szCs w:val="24"/>
        </w:rPr>
        <w:t xml:space="preserve"> </w:t>
      </w:r>
    </w:p>
    <w:p w14:paraId="45DC8A16"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No vienas puses autotransportā tiek prognozēta mobilitātes rādītāju līdz 2030.gadam palielināšanās (pasažieru apgrozības un kravu apgrozība), bet no otras puses tiek prognozēta Latvijā izmantojamo pasažieru automašīnu nomaiņa uz efektīvākām un videi draudzīgākām, kā arī EV skaita palielināšanās.</w:t>
      </w:r>
    </w:p>
    <w:p w14:paraId="38AA4AFB"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780B429E" w14:textId="77777777" w:rsidR="00D346E7" w:rsidRPr="00D346E7" w:rsidRDefault="00D346E7" w:rsidP="00B71063">
      <w:pPr>
        <w:pStyle w:val="ListParagraph"/>
        <w:numPr>
          <w:ilvl w:val="0"/>
          <w:numId w:val="39"/>
        </w:numPr>
        <w:spacing w:before="120" w:after="120"/>
        <w:contextualSpacing/>
        <w:jc w:val="both"/>
        <w:rPr>
          <w:rFonts w:eastAsia="Cambria" w:cs="Times New Roman"/>
          <w:b/>
          <w:strike/>
          <w:szCs w:val="24"/>
        </w:rPr>
      </w:pPr>
      <w:r w:rsidRPr="00D346E7">
        <w:rPr>
          <w:rFonts w:eastAsia="Cambria" w:cs="Times New Roman"/>
          <w:szCs w:val="24"/>
        </w:rPr>
        <w:t xml:space="preserve">Biodegvielas obligātās pievienošanas prasība; </w:t>
      </w:r>
    </w:p>
    <w:p w14:paraId="63079385" w14:textId="299E7346"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Akcīzes nodoklis</w:t>
      </w:r>
      <w:r w:rsidR="00857535">
        <w:rPr>
          <w:rFonts w:eastAsia="Cambria" w:cs="Times New Roman"/>
          <w:szCs w:val="24"/>
        </w:rPr>
        <w:t xml:space="preserve"> </w:t>
      </w:r>
      <w:r w:rsidRPr="00D346E7">
        <w:rPr>
          <w:rFonts w:eastAsia="Cambria" w:cs="Times New Roman"/>
          <w:szCs w:val="24"/>
        </w:rPr>
        <w:t>degvielām;</w:t>
      </w:r>
    </w:p>
    <w:p w14:paraId="34B3335A"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Latvijas dzelzceļa tīkla posmu elektrifikācija, bateriju elektrovilcienu izmantošana pasažieru pārvadājumos;</w:t>
      </w:r>
    </w:p>
    <w:p w14:paraId="59C5DBF6"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Mehānisko transportlīdzekļu tehniskā stāvokļa sistemātiska pārbaude;</w:t>
      </w:r>
    </w:p>
    <w:p w14:paraId="16944529"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Videi draudzīga un nulles emisiju sabiedriskā transporta attīstība;</w:t>
      </w:r>
    </w:p>
    <w:p w14:paraId="512DF2BC" w14:textId="77777777" w:rsidR="00D346E7" w:rsidRPr="00D346E7" w:rsidRDefault="00D346E7" w:rsidP="00B71063">
      <w:pPr>
        <w:pStyle w:val="ListParagraph"/>
        <w:numPr>
          <w:ilvl w:val="0"/>
          <w:numId w:val="39"/>
        </w:numPr>
        <w:spacing w:before="120" w:after="120"/>
        <w:contextualSpacing/>
        <w:jc w:val="both"/>
        <w:rPr>
          <w:rFonts w:eastAsia="Cambria" w:cs="Times New Roman"/>
          <w:color w:val="FF0000"/>
          <w:szCs w:val="24"/>
        </w:rPr>
      </w:pPr>
      <w:r w:rsidRPr="00D346E7">
        <w:rPr>
          <w:rFonts w:eastAsia="Cambria" w:cs="Times New Roman"/>
          <w:szCs w:val="24"/>
        </w:rPr>
        <w:t>Zaļais publiskais iepirkums;</w:t>
      </w:r>
    </w:p>
    <w:p w14:paraId="6AC60304"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Elektrisko transportlīdzekļu uzlādes infrastruktūras attīstība;</w:t>
      </w:r>
    </w:p>
    <w:p w14:paraId="496E9FCC"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 xml:space="preserve">Atbalsta programmas elektrisko transportlīdzekļu iegādei; </w:t>
      </w:r>
    </w:p>
    <w:p w14:paraId="33F52BF4"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Multi-modāla sabiedriskā transporta infrastruktūras attīstība.</w:t>
      </w:r>
    </w:p>
    <w:p w14:paraId="5FA3F71F" w14:textId="77777777" w:rsid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Aprēķinātās kopējās SEG emisiju prognozes transporta sektoram bāzes scenārijam </w:t>
      </w:r>
      <w:r w:rsidR="00BA1A52">
        <w:rPr>
          <w:rFonts w:eastAsia="Cambria" w:cs="Times New Roman"/>
          <w:szCs w:val="24"/>
          <w:lang w:eastAsia="lv-LV"/>
        </w:rPr>
        <w:t>(skat. 3.</w:t>
      </w:r>
      <w:r w:rsidR="00367DDE">
        <w:rPr>
          <w:rFonts w:eastAsia="Cambria" w:cs="Times New Roman"/>
          <w:szCs w:val="24"/>
          <w:lang w:eastAsia="lv-LV"/>
        </w:rPr>
        <w:t>12</w:t>
      </w:r>
      <w:r w:rsidR="00BA1A52">
        <w:rPr>
          <w:rFonts w:eastAsia="Cambria" w:cs="Times New Roman"/>
          <w:szCs w:val="24"/>
          <w:lang w:eastAsia="lv-LV"/>
        </w:rPr>
        <w:t xml:space="preserve">. att.) </w:t>
      </w:r>
      <w:r w:rsidRPr="00D346E7">
        <w:rPr>
          <w:rFonts w:eastAsia="Cambria" w:cs="Times New Roman"/>
          <w:szCs w:val="24"/>
          <w:lang w:eastAsia="lv-LV"/>
        </w:rPr>
        <w:t>2030. gadam ir par 2% lielākas nekā 2005. gadā.</w:t>
      </w:r>
    </w:p>
    <w:p w14:paraId="304C450B" w14:textId="77777777" w:rsidR="009D44DF" w:rsidRPr="00D346E7" w:rsidRDefault="009D44DF" w:rsidP="00D346E7">
      <w:pPr>
        <w:spacing w:before="120" w:after="120"/>
        <w:jc w:val="both"/>
        <w:rPr>
          <w:rFonts w:eastAsia="Cambria" w:cs="Times New Roman"/>
          <w:szCs w:val="24"/>
          <w:lang w:eastAsia="lv-LV"/>
        </w:rPr>
      </w:pPr>
    </w:p>
    <w:p w14:paraId="7901763B" w14:textId="0765F889"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761F4555" wp14:editId="452068EC">
            <wp:extent cx="4162425" cy="2486025"/>
            <wp:effectExtent l="0" t="0" r="9525" b="9525"/>
            <wp:docPr id="13" name="Picture 808200670" descr="A graph of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200670" descr="A graph of numbers and numbers&#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62425" cy="2486025"/>
                    </a:xfrm>
                    <a:prstGeom prst="rect">
                      <a:avLst/>
                    </a:prstGeom>
                    <a:noFill/>
                    <a:ln>
                      <a:noFill/>
                    </a:ln>
                  </pic:spPr>
                </pic:pic>
              </a:graphicData>
            </a:graphic>
          </wp:inline>
        </w:drawing>
      </w:r>
    </w:p>
    <w:p w14:paraId="4821C153" w14:textId="5ED96E17" w:rsidR="00D346E7" w:rsidRPr="00D346E7" w:rsidRDefault="00BA1A52" w:rsidP="00D346E7">
      <w:pPr>
        <w:pStyle w:val="Caption"/>
        <w:rPr>
          <w:rFonts w:eastAsia="Cambria"/>
          <w:bCs/>
          <w:sz w:val="24"/>
          <w:szCs w:val="24"/>
        </w:rPr>
      </w:pPr>
      <w:r>
        <w:rPr>
          <w:rFonts w:eastAsia="Cambria"/>
          <w:bCs/>
          <w:sz w:val="24"/>
          <w:szCs w:val="24"/>
          <w:lang w:eastAsia="lv-LV"/>
        </w:rPr>
        <w:t>3.</w:t>
      </w:r>
      <w:r w:rsidR="00367DDE">
        <w:rPr>
          <w:rFonts w:eastAsia="Cambria"/>
          <w:bCs/>
          <w:sz w:val="24"/>
          <w:szCs w:val="24"/>
          <w:lang w:eastAsia="lv-LV"/>
        </w:rPr>
        <w:t>12</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Transporta sektora SEG emisijas 2005.-2030.gadā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52026BC9" w14:textId="77777777" w:rsidR="009D44DF" w:rsidRPr="00D346E7" w:rsidRDefault="009D44DF" w:rsidP="009D44DF">
      <w:pPr>
        <w:spacing w:before="120" w:after="120"/>
        <w:jc w:val="both"/>
        <w:rPr>
          <w:rFonts w:cs="Times New Roman"/>
          <w:szCs w:val="24"/>
        </w:rPr>
      </w:pPr>
      <w:bookmarkStart w:id="70" w:name="_Toc147389933"/>
      <w:bookmarkStart w:id="71" w:name="_Toc147392414"/>
      <w:bookmarkStart w:id="72" w:name="_Toc147394714"/>
      <w:bookmarkStart w:id="73" w:name="_Toc148528051"/>
      <w:bookmarkStart w:id="74" w:name="_Toc149143807"/>
      <w:bookmarkStart w:id="75" w:name="_Toc149905922"/>
      <w:bookmarkStart w:id="76" w:name="_Toc149906155"/>
      <w:bookmarkStart w:id="77" w:name="_Toc150357186"/>
      <w:bookmarkStart w:id="78" w:name="_Toc151106390"/>
      <w:r w:rsidRPr="00D346E7">
        <w:rPr>
          <w:rFonts w:eastAsia="Cambria" w:cs="Times New Roman"/>
          <w:szCs w:val="24"/>
          <w:lang w:eastAsia="lv-LV"/>
        </w:rPr>
        <w:t>Transporta sektora SEG emisiju tendenci nosaka bāzes scenārijā ietvertie pasākumi, kas paredz elektrouzlādes staciju tīkla attīstības turpināšanu gan ar atbalsta programmām, gan privātām investīcijām, atbalsta pasākumus EV iegādei pašvaldībām, publiskā transportā, kā arī privātām automašīnām. Ilgtermiņā ir sagaidāma arī pārsēšanās no privātā transporta uz sabiedrisko transportu (dzelzceļš), ko sekmēs plānotās atbalsta programmas dzelzceļa attīstīšanai un bateriju elektrovilcienu izmantošana pasažieru pārvadāšanai.</w:t>
      </w:r>
    </w:p>
    <w:p w14:paraId="41EDE7AB" w14:textId="77777777" w:rsidR="009D44DF" w:rsidRDefault="009D44DF" w:rsidP="00444F6A">
      <w:pPr>
        <w:pStyle w:val="Heading31"/>
        <w:spacing w:before="120"/>
        <w:jc w:val="both"/>
        <w:rPr>
          <w:rStyle w:val="normaltextrun"/>
          <w:rFonts w:ascii="Times New Roman" w:hAnsi="Times New Roman"/>
          <w:sz w:val="24"/>
          <w:szCs w:val="24"/>
          <w:lang w:val="lv-LV"/>
        </w:rPr>
      </w:pPr>
    </w:p>
    <w:p w14:paraId="5EDD694E" w14:textId="77777777" w:rsidR="00444F6A" w:rsidRPr="007A6B93" w:rsidRDefault="00444F6A" w:rsidP="00444F6A">
      <w:pPr>
        <w:pStyle w:val="Heading31"/>
        <w:spacing w:before="120"/>
        <w:jc w:val="both"/>
        <w:rPr>
          <w:rFonts w:ascii="Times New Roman" w:hAnsi="Times New Roman"/>
          <w:sz w:val="24"/>
          <w:szCs w:val="24"/>
          <w:lang w:val="lv-LV"/>
        </w:rPr>
      </w:pPr>
      <w:bookmarkStart w:id="79" w:name="_Toc169602241"/>
      <w:r w:rsidRPr="007A6B93">
        <w:rPr>
          <w:rStyle w:val="normaltextrun"/>
          <w:rFonts w:ascii="Times New Roman" w:hAnsi="Times New Roman"/>
          <w:sz w:val="24"/>
          <w:szCs w:val="24"/>
          <w:lang w:val="lv-LV"/>
        </w:rPr>
        <w:t>3.2.2.</w:t>
      </w:r>
      <w:r>
        <w:rPr>
          <w:rStyle w:val="normaltextrun"/>
          <w:rFonts w:ascii="Times New Roman" w:hAnsi="Times New Roman"/>
          <w:sz w:val="24"/>
          <w:szCs w:val="24"/>
          <w:lang w:val="lv-LV"/>
        </w:rPr>
        <w:t>4</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RPPI</w:t>
      </w:r>
      <w:bookmarkEnd w:id="79"/>
      <w:r w:rsidRPr="007A6B93">
        <w:rPr>
          <w:rStyle w:val="eop"/>
          <w:rFonts w:ascii="Times New Roman" w:hAnsi="Times New Roman"/>
          <w:sz w:val="24"/>
          <w:szCs w:val="24"/>
          <w:lang w:val="lv-LV"/>
        </w:rPr>
        <w:t> </w:t>
      </w:r>
    </w:p>
    <w:bookmarkEnd w:id="70"/>
    <w:bookmarkEnd w:id="71"/>
    <w:bookmarkEnd w:id="72"/>
    <w:bookmarkEnd w:id="73"/>
    <w:bookmarkEnd w:id="74"/>
    <w:bookmarkEnd w:id="75"/>
    <w:bookmarkEnd w:id="76"/>
    <w:bookmarkEnd w:id="77"/>
    <w:bookmarkEnd w:id="78"/>
    <w:p w14:paraId="6F1DBB89"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lang w:eastAsia="lv-LV"/>
        </w:rPr>
        <w:t>Ņemot vērā, ka sektors dod ieguldīju</w:t>
      </w:r>
      <w:r w:rsidR="00490512">
        <w:rPr>
          <w:rFonts w:eastAsia="Cambria" w:cs="Times New Roman"/>
          <w:szCs w:val="24"/>
          <w:lang w:eastAsia="lv-LV"/>
        </w:rPr>
        <w:t>mu</w:t>
      </w:r>
      <w:r w:rsidRPr="00D346E7">
        <w:rPr>
          <w:rFonts w:eastAsia="Cambria" w:cs="Times New Roman"/>
          <w:szCs w:val="24"/>
          <w:lang w:eastAsia="lv-LV"/>
        </w:rPr>
        <w:t xml:space="preserve"> gan ES ETS, gan ne-ETS darbību SEG emisijās, tiek skatītas </w:t>
      </w:r>
      <w:r w:rsidRPr="00D346E7">
        <w:rPr>
          <w:rFonts w:eastAsia="Cambria" w:cs="Times New Roman"/>
          <w:szCs w:val="24"/>
        </w:rPr>
        <w:t>RPPI</w:t>
      </w:r>
      <w:r w:rsidRPr="00D346E7">
        <w:rPr>
          <w:rFonts w:eastAsia="Cambria" w:cs="Times New Roman"/>
          <w:szCs w:val="24"/>
          <w:lang w:eastAsia="lv-LV"/>
        </w:rPr>
        <w:t xml:space="preserve"> sektora kopējās SEG emisijas. </w:t>
      </w:r>
      <w:r w:rsidRPr="00D346E7">
        <w:rPr>
          <w:rFonts w:eastAsia="Cambria" w:cs="Times New Roman"/>
          <w:szCs w:val="24"/>
        </w:rPr>
        <w:t xml:space="preserve">RPPI sektorā SEG emisiju prognožu aprēķināšanai tiek izmantotas </w:t>
      </w:r>
      <w:r w:rsidRPr="00D346E7">
        <w:rPr>
          <w:rFonts w:eastAsia="Cambria" w:cs="Times New Roman"/>
          <w:i/>
          <w:iCs/>
          <w:szCs w:val="24"/>
        </w:rPr>
        <w:t>MS Excel</w:t>
      </w:r>
      <w:r w:rsidRPr="00D346E7">
        <w:rPr>
          <w:rFonts w:eastAsia="Cambria" w:cs="Times New Roman"/>
          <w:szCs w:val="24"/>
        </w:rPr>
        <w:t xml:space="preserve"> datubāzes un SEG emisijas aprēķinātas saskaņā ar 2006.gada KPSP vadlīnijām. SEG prognožu emisijas no RPPI ietver CO</w:t>
      </w:r>
      <w:r w:rsidRPr="00D346E7">
        <w:rPr>
          <w:rFonts w:eastAsia="Cambria" w:cs="Times New Roman"/>
          <w:szCs w:val="24"/>
          <w:vertAlign w:val="subscript"/>
        </w:rPr>
        <w:t>2</w:t>
      </w:r>
      <w:r w:rsidRPr="00D346E7">
        <w:rPr>
          <w:rFonts w:eastAsia="Cambria" w:cs="Times New Roman"/>
          <w:szCs w:val="24"/>
        </w:rPr>
        <w:t>, CH</w:t>
      </w:r>
      <w:r w:rsidRPr="00D346E7">
        <w:rPr>
          <w:rFonts w:eastAsia="Cambria" w:cs="Times New Roman"/>
          <w:szCs w:val="24"/>
          <w:vertAlign w:val="subscript"/>
        </w:rPr>
        <w:t>4</w:t>
      </w:r>
      <w:r w:rsidRPr="00D346E7">
        <w:rPr>
          <w:rFonts w:eastAsia="Cambria" w:cs="Times New Roman"/>
          <w:szCs w:val="24"/>
        </w:rPr>
        <w:t>, N</w:t>
      </w:r>
      <w:r w:rsidRPr="00D346E7">
        <w:rPr>
          <w:rFonts w:eastAsia="Cambria" w:cs="Times New Roman"/>
          <w:szCs w:val="24"/>
          <w:vertAlign w:val="subscript"/>
        </w:rPr>
        <w:t>2</w:t>
      </w:r>
      <w:r w:rsidRPr="00D346E7">
        <w:rPr>
          <w:rFonts w:eastAsia="Cambria" w:cs="Times New Roman"/>
          <w:szCs w:val="24"/>
        </w:rPr>
        <w:t>O un fluorētās SEG (fluorogļūdeņraži (HFC) un sēra heksafluorīds (SF</w:t>
      </w:r>
      <w:r w:rsidRPr="00D346E7">
        <w:rPr>
          <w:rFonts w:eastAsia="Cambria" w:cs="Times New Roman"/>
          <w:szCs w:val="24"/>
          <w:vertAlign w:val="subscript"/>
        </w:rPr>
        <w:t>6</w:t>
      </w:r>
      <w:r w:rsidRPr="00D346E7">
        <w:rPr>
          <w:rFonts w:eastAsia="Cambria" w:cs="Times New Roman"/>
          <w:szCs w:val="24"/>
        </w:rPr>
        <w:t>)) emisijas no vairākiem apakšsektoriem.</w:t>
      </w:r>
    </w:p>
    <w:p w14:paraId="62B06DAE"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256C903E" w14:textId="77777777" w:rsidR="00D346E7" w:rsidRPr="00D346E7" w:rsidRDefault="00D346E7" w:rsidP="00B71063">
      <w:pPr>
        <w:pStyle w:val="ListParagraph"/>
        <w:numPr>
          <w:ilvl w:val="0"/>
          <w:numId w:val="41"/>
        </w:numPr>
        <w:spacing w:before="120" w:after="120"/>
        <w:ind w:left="360"/>
        <w:contextualSpacing/>
        <w:jc w:val="both"/>
        <w:rPr>
          <w:rFonts w:eastAsia="Cambria" w:cs="Times New Roman"/>
          <w:szCs w:val="24"/>
        </w:rPr>
      </w:pPr>
      <w:r w:rsidRPr="00D346E7">
        <w:rPr>
          <w:rFonts w:eastAsia="Cambria" w:cs="Times New Roman"/>
          <w:szCs w:val="24"/>
        </w:rPr>
        <w:t>Eiropas Parlamenta un Padomes Regula (ES) Nr. 517/2014 par fluorētām siltumnīcefekta gāzēm un ar ko atceļ Regulu (EK) Nr. 842/2006;</w:t>
      </w:r>
    </w:p>
    <w:p w14:paraId="50E660CE" w14:textId="77777777" w:rsidR="00D346E7" w:rsidRPr="00D346E7" w:rsidRDefault="00D346E7" w:rsidP="00B71063">
      <w:pPr>
        <w:pStyle w:val="ListParagraph"/>
        <w:numPr>
          <w:ilvl w:val="0"/>
          <w:numId w:val="41"/>
        </w:numPr>
        <w:spacing w:before="120" w:after="120"/>
        <w:ind w:left="360"/>
        <w:contextualSpacing/>
        <w:jc w:val="both"/>
        <w:rPr>
          <w:rFonts w:eastAsia="Cambria" w:cs="Times New Roman"/>
          <w:szCs w:val="24"/>
        </w:rPr>
      </w:pPr>
      <w:r w:rsidRPr="00D346E7">
        <w:rPr>
          <w:rFonts w:eastAsia="Cambria" w:cs="Times New Roman"/>
          <w:szCs w:val="24"/>
        </w:rPr>
        <w:t>Eiropas Parlamenta un Padomes Direktīva 2006/40/EK (2006.gada 17.maijs) par emisijām no mehānisko transportlīdzekļu gaisa kondicionēšanas sistēmām un par grozījumiem Padomes Direktīvā 70/156/EEK.</w:t>
      </w:r>
    </w:p>
    <w:p w14:paraId="311CA736"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rPr>
        <w:t xml:space="preserve">RPPI sektorā ir vienādas emisijas gan bāzes scenārijā, gan NEKP pasākumu scenārijā, jo papildus politikas un pasākumi netiek paredzēti. Bāzes scenārijā RPPI sektora kopējās emisijās 2030.gadā ir novērojams </w:t>
      </w:r>
      <w:r w:rsidR="00BA1A52">
        <w:rPr>
          <w:rFonts w:eastAsia="Cambria" w:cs="Times New Roman"/>
          <w:szCs w:val="24"/>
          <w:lang w:eastAsia="lv-LV"/>
        </w:rPr>
        <w:t>(skat. 3.</w:t>
      </w:r>
      <w:r w:rsidR="00367DDE">
        <w:rPr>
          <w:rFonts w:eastAsia="Cambria" w:cs="Times New Roman"/>
          <w:szCs w:val="24"/>
          <w:lang w:eastAsia="lv-LV"/>
        </w:rPr>
        <w:t>13</w:t>
      </w:r>
      <w:r w:rsidR="00BA1A52">
        <w:rPr>
          <w:rFonts w:eastAsia="Cambria" w:cs="Times New Roman"/>
          <w:szCs w:val="24"/>
          <w:lang w:eastAsia="lv-LV"/>
        </w:rPr>
        <w:t xml:space="preserve">. att.) </w:t>
      </w:r>
      <w:r w:rsidRPr="00D346E7">
        <w:rPr>
          <w:rFonts w:eastAsia="Cambria" w:cs="Times New Roman"/>
          <w:szCs w:val="24"/>
        </w:rPr>
        <w:t>vairāk nekā 100 % pieaugums sektorā pret 2005.gadu. Tomēr šis pieaugums veidojas tāpēc, ka emisijas no minerālu rūpniecības un F-gāzu izmantošanas sektoriem ir pieaugušas no 2005.gada līdz 2020.gadam. Ne-ETS rūpniecisko procesu un produktu izmantošanas (nozares zem 20 MW) sektorā SEG emisiju pieaugums ir 59 %.</w:t>
      </w:r>
    </w:p>
    <w:p w14:paraId="33479D6E" w14:textId="38B624D7"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28B3B8E1" wp14:editId="264B7AE3">
            <wp:extent cx="4191000" cy="2762250"/>
            <wp:effectExtent l="0" t="0" r="0" b="0"/>
            <wp:docPr id="14" name="Picture 80754075" descr="A graph with orange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54075" descr="A graph with orange and blue bar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0" cy="2762250"/>
                    </a:xfrm>
                    <a:prstGeom prst="rect">
                      <a:avLst/>
                    </a:prstGeom>
                    <a:noFill/>
                    <a:ln>
                      <a:noFill/>
                    </a:ln>
                  </pic:spPr>
                </pic:pic>
              </a:graphicData>
            </a:graphic>
          </wp:inline>
        </w:drawing>
      </w:r>
    </w:p>
    <w:p w14:paraId="5D6F647E" w14:textId="77777777" w:rsidR="00D346E7" w:rsidRPr="00D346E7" w:rsidRDefault="00BA1A52" w:rsidP="00D346E7">
      <w:pPr>
        <w:pStyle w:val="Caption"/>
        <w:rPr>
          <w:rFonts w:eastAsia="Cambria"/>
          <w:bCs/>
          <w:sz w:val="24"/>
          <w:szCs w:val="24"/>
        </w:rPr>
      </w:pPr>
      <w:r>
        <w:rPr>
          <w:rFonts w:eastAsia="Cambria"/>
          <w:bCs/>
          <w:sz w:val="24"/>
          <w:szCs w:val="24"/>
        </w:rPr>
        <w:t>3.</w:t>
      </w:r>
      <w:r w:rsidR="00367DDE">
        <w:rPr>
          <w:rFonts w:eastAsia="Cambria"/>
          <w:bCs/>
          <w:sz w:val="24"/>
          <w:szCs w:val="24"/>
        </w:rPr>
        <w:t>13</w:t>
      </w:r>
      <w:r w:rsidR="00D346E7" w:rsidRPr="00D346E7">
        <w:rPr>
          <w:rFonts w:eastAsia="Cambria"/>
          <w:bCs/>
          <w:sz w:val="24"/>
          <w:szCs w:val="24"/>
        </w:rPr>
        <w:t>. attēls. Ne-ETS RPPI sektora SEG emisijas 2005. - 2030.gadā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156F2652" w14:textId="77777777" w:rsidR="00444F6A" w:rsidRDefault="00444F6A" w:rsidP="00D346E7">
      <w:pPr>
        <w:pStyle w:val="Heading2"/>
        <w:keepLines/>
        <w:numPr>
          <w:ilvl w:val="1"/>
          <w:numId w:val="0"/>
        </w:numPr>
        <w:spacing w:before="120" w:after="120"/>
        <w:ind w:left="340" w:hanging="340"/>
        <w:rPr>
          <w:rFonts w:ascii="Times New Roman" w:hAnsi="Times New Roman"/>
          <w:sz w:val="24"/>
          <w:szCs w:val="24"/>
        </w:rPr>
      </w:pPr>
      <w:bookmarkStart w:id="80" w:name="_Toc147389934"/>
      <w:bookmarkStart w:id="81" w:name="_Toc147392415"/>
      <w:bookmarkStart w:id="82" w:name="_Toc147394715"/>
      <w:bookmarkStart w:id="83" w:name="_Toc148528052"/>
      <w:bookmarkStart w:id="84" w:name="_Toc149143808"/>
      <w:bookmarkStart w:id="85" w:name="_Toc149905923"/>
      <w:bookmarkStart w:id="86" w:name="_Toc149906156"/>
      <w:bookmarkStart w:id="87" w:name="_Toc150357187"/>
      <w:bookmarkStart w:id="88" w:name="_Toc151106391"/>
    </w:p>
    <w:p w14:paraId="641DC485" w14:textId="77777777" w:rsidR="00444F6A" w:rsidRPr="007A6B93" w:rsidRDefault="00444F6A" w:rsidP="00444F6A">
      <w:pPr>
        <w:pStyle w:val="Heading31"/>
        <w:spacing w:before="120"/>
        <w:jc w:val="both"/>
        <w:rPr>
          <w:rFonts w:ascii="Times New Roman" w:hAnsi="Times New Roman"/>
          <w:sz w:val="24"/>
          <w:szCs w:val="24"/>
          <w:lang w:val="lv-LV"/>
        </w:rPr>
      </w:pPr>
      <w:bookmarkStart w:id="89" w:name="_Toc169602242"/>
      <w:r w:rsidRPr="007A6B93">
        <w:rPr>
          <w:rStyle w:val="normaltextrun"/>
          <w:rFonts w:ascii="Times New Roman" w:hAnsi="Times New Roman"/>
          <w:sz w:val="24"/>
          <w:szCs w:val="24"/>
          <w:lang w:val="lv-LV"/>
        </w:rPr>
        <w:t>3.2.2.</w:t>
      </w:r>
      <w:r>
        <w:rPr>
          <w:rStyle w:val="normaltextrun"/>
          <w:rFonts w:ascii="Times New Roman" w:hAnsi="Times New Roman"/>
          <w:sz w:val="24"/>
          <w:szCs w:val="24"/>
          <w:lang w:val="lv-LV"/>
        </w:rPr>
        <w:t>5</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Lauksaimniecība</w:t>
      </w:r>
      <w:bookmarkEnd w:id="89"/>
      <w:r w:rsidRPr="007A6B93">
        <w:rPr>
          <w:rStyle w:val="eop"/>
          <w:rFonts w:ascii="Times New Roman" w:hAnsi="Times New Roman"/>
          <w:sz w:val="24"/>
          <w:szCs w:val="24"/>
          <w:lang w:val="lv-LV"/>
        </w:rPr>
        <w:t> </w:t>
      </w:r>
    </w:p>
    <w:bookmarkEnd w:id="80"/>
    <w:bookmarkEnd w:id="81"/>
    <w:bookmarkEnd w:id="82"/>
    <w:bookmarkEnd w:id="83"/>
    <w:bookmarkEnd w:id="84"/>
    <w:bookmarkEnd w:id="85"/>
    <w:bookmarkEnd w:id="86"/>
    <w:bookmarkEnd w:id="87"/>
    <w:bookmarkEnd w:id="88"/>
    <w:p w14:paraId="65090D03"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 xml:space="preserve">Emisiju prognozes tiek balstītas uz primāriem aktivitātes datiem, ko sniegusi ZM sadarbībā ar LBTU. Ekonometrisko scenāriju bāzes modelis Latvijas lauksaimniecības nozares analīzei (LASAM) tiek izmantots Latvijas lauksaimniecības darbības datu ģenerēšanai. Ar ekonometriskajiem modeļiem aprēķināts lauksaimniecības dzīvnieku skaits, kultūraugu sējplatība un ražība, kā arī slāpekļa minerālmēslu patēriņš. Organiskā mēslojuma izlietojums, kūtsmēslu apsaimniekošanas sistēmu sadalījums prognozēts pēc LBTU Tehniskās fakultātes zinātnieku izstrādāta algoritma, balstoties uz ilggadīgiem novērojumiem un detalizētu </w:t>
      </w:r>
      <w:r w:rsidRPr="00D346E7">
        <w:rPr>
          <w:rFonts w:eastAsia="Cambria" w:cs="Times New Roman"/>
          <w:szCs w:val="24"/>
        </w:rPr>
        <w:lastRenderedPageBreak/>
        <w:t>tehnoloģiskā progresa izpēti, kā arī biogāzes staciju apsekojumu datiem. Lauksaimniecības sektora SEG emisijas aprēķinātas saskaņā ar 2006.gada KPSP vadlīnijām.</w:t>
      </w:r>
    </w:p>
    <w:p w14:paraId="27451F1B"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Bāzes scenārija aprēķinu pamatā tiek izmantoti sektorālo ministriju iesniegtie aktivitāšu datu (piemēram, </w:t>
      </w:r>
      <w:r w:rsidRPr="00D346E7">
        <w:rPr>
          <w:rFonts w:eastAsia="Cambria" w:cs="Times New Roman"/>
          <w:szCs w:val="24"/>
          <w:shd w:val="clear" w:color="auto" w:fill="FFFFFF"/>
        </w:rPr>
        <w:t>liellopu skaits, slāpekļa daudzums kūtsmēslos pēc lauksaimniecības dzīvnieku sugas, lauksaimniecības kultūru kopraža u.c.</w:t>
      </w:r>
      <w:r w:rsidRPr="00D346E7">
        <w:rPr>
          <w:rFonts w:eastAsia="Cambria" w:cs="Times New Roman"/>
          <w:szCs w:val="24"/>
          <w:lang w:eastAsia="lv-LV"/>
        </w:rPr>
        <w:t xml:space="preserve">) prognožu aprēķini. Iesniedzamie aktivitātes dati bāzes scenārijam tiek sagatavoti saskaņā ar SEG inventarizācijas sagatavošanas prasībām. </w:t>
      </w:r>
    </w:p>
    <w:p w14:paraId="21C721AE"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6F63E600"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Atbalsts lopkopībai, lai izstrādātu barošanas plānus un veicinātu augstas kvalitātes barības izmantošanu;</w:t>
      </w:r>
    </w:p>
    <w:p w14:paraId="667B8D60"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Pākšaugu ieviešana kultūraugu rotācijā;</w:t>
      </w:r>
    </w:p>
    <w:p w14:paraId="2CEB93FD"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Nitrātu jutīgo teritoriju apsaimniekošana;</w:t>
      </w:r>
    </w:p>
    <w:p w14:paraId="64990AE7"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Prasības augsnes un ūdens aizsardzībai no lauksaimniecības piesārņojuma, ko izraisa nitrāti;</w:t>
      </w:r>
    </w:p>
    <w:p w14:paraId="5E443062"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Kultūraugu mēslošanas plāni jutīgajās zonās;</w:t>
      </w:r>
    </w:p>
    <w:p w14:paraId="79011217"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Prasības kūtsmēslu uzglabāšanai un izkliedei;</w:t>
      </w:r>
    </w:p>
    <w:p w14:paraId="391FEB2D"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Meliorācijas sistēmu uzturēšana;</w:t>
      </w:r>
    </w:p>
    <w:p w14:paraId="188DE9B4"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Bioloģiskās lauksaimniecības zemes platības palielinājums attiecībā pret kopējo lauksaimniecībai izmantojamo zemi;</w:t>
      </w:r>
    </w:p>
    <w:p w14:paraId="174B5564"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Ekstensīva augu seka;</w:t>
      </w:r>
    </w:p>
    <w:p w14:paraId="40179D3E"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Atbalsts precīzās lauksaimniecības tehnoloģiju attīstībai augkopības saimniecībās, lai samazinātu slāpekļa izmantošanu.</w:t>
      </w:r>
    </w:p>
    <w:p w14:paraId="64F82B0A"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Lauksaimniecības pasākumiem nav bijuši pietiekami dati un atbilstoša pasākuma ieviešanas monitoringa sistēma, lai aprēķinātu bāzes scenārija pasākumu ietekmi uz SEG emisiju samazinājumu. Emisiju samazinājums ir saistīts arī ar iesniegto aktivitāšu datu prognozi.</w:t>
      </w:r>
    </w:p>
    <w:p w14:paraId="1F97FE78" w14:textId="77777777" w:rsid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Kopējās lauksaimniecības SEG emisijas </w:t>
      </w:r>
      <w:r w:rsidR="00C263F0">
        <w:rPr>
          <w:rFonts w:eastAsia="Cambria" w:cs="Times New Roman"/>
          <w:szCs w:val="24"/>
          <w:lang w:eastAsia="lv-LV"/>
        </w:rPr>
        <w:t>(skat. 3.</w:t>
      </w:r>
      <w:r w:rsidR="00367DDE">
        <w:rPr>
          <w:rFonts w:eastAsia="Cambria" w:cs="Times New Roman"/>
          <w:szCs w:val="24"/>
          <w:lang w:eastAsia="lv-LV"/>
        </w:rPr>
        <w:t>14</w:t>
      </w:r>
      <w:r w:rsidR="00C263F0">
        <w:rPr>
          <w:rFonts w:eastAsia="Cambria" w:cs="Times New Roman"/>
          <w:szCs w:val="24"/>
          <w:lang w:eastAsia="lv-LV"/>
        </w:rPr>
        <w:t xml:space="preserve">. att.) </w:t>
      </w:r>
      <w:r w:rsidRPr="00D346E7">
        <w:rPr>
          <w:rFonts w:eastAsia="Cambria" w:cs="Times New Roman"/>
          <w:szCs w:val="24"/>
          <w:lang w:eastAsia="lv-LV"/>
        </w:rPr>
        <w:t>2030. gadā pieaugušas par 2</w:t>
      </w:r>
      <w:r w:rsidR="009D44DF">
        <w:rPr>
          <w:rFonts w:eastAsia="Cambria" w:cs="Times New Roman"/>
          <w:szCs w:val="24"/>
          <w:lang w:eastAsia="lv-LV"/>
        </w:rPr>
        <w:t>3% salīdzinājumā ar 2005. gadu.</w:t>
      </w:r>
    </w:p>
    <w:p w14:paraId="250A0149" w14:textId="77777777" w:rsidR="009D44DF" w:rsidRPr="00D346E7" w:rsidRDefault="009D44DF" w:rsidP="00D346E7">
      <w:pPr>
        <w:spacing w:before="120" w:after="120"/>
        <w:jc w:val="both"/>
        <w:rPr>
          <w:rFonts w:eastAsia="Cambria" w:cs="Times New Roman"/>
          <w:szCs w:val="24"/>
          <w:lang w:eastAsia="lv-LV"/>
        </w:rPr>
      </w:pPr>
    </w:p>
    <w:p w14:paraId="0BE01022" w14:textId="7AC0E953"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11C851E7" wp14:editId="149A33C6">
            <wp:extent cx="4171950" cy="2438400"/>
            <wp:effectExtent l="0" t="0" r="0" b="0"/>
            <wp:docPr id="15" name="Picture 201924849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248491" descr="A graph with numbers and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71950" cy="2438400"/>
                    </a:xfrm>
                    <a:prstGeom prst="rect">
                      <a:avLst/>
                    </a:prstGeom>
                    <a:noFill/>
                    <a:ln>
                      <a:noFill/>
                    </a:ln>
                  </pic:spPr>
                </pic:pic>
              </a:graphicData>
            </a:graphic>
          </wp:inline>
        </w:drawing>
      </w:r>
    </w:p>
    <w:p w14:paraId="2DD7AE30" w14:textId="6ECD4BF6" w:rsidR="00D346E7" w:rsidRPr="00D346E7" w:rsidRDefault="00C263F0" w:rsidP="009D44DF">
      <w:pPr>
        <w:pStyle w:val="Caption"/>
        <w:jc w:val="left"/>
        <w:rPr>
          <w:rFonts w:eastAsia="Cambria"/>
          <w:bCs/>
          <w:sz w:val="24"/>
          <w:szCs w:val="24"/>
        </w:rPr>
      </w:pPr>
      <w:r>
        <w:rPr>
          <w:rFonts w:eastAsia="Cambria"/>
          <w:bCs/>
          <w:sz w:val="24"/>
          <w:szCs w:val="24"/>
          <w:lang w:eastAsia="lv-LV"/>
        </w:rPr>
        <w:t>3.</w:t>
      </w:r>
      <w:r w:rsidR="00367DDE">
        <w:rPr>
          <w:rFonts w:eastAsia="Cambria"/>
          <w:bCs/>
          <w:sz w:val="24"/>
          <w:szCs w:val="24"/>
          <w:lang w:eastAsia="lv-LV"/>
        </w:rPr>
        <w:t>14</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Lauksaimniecības sektora SEG emisijas 2005.-2030.gadā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46422601" w14:textId="62DCF56A" w:rsidR="009D44DF" w:rsidRPr="009D44DF" w:rsidRDefault="009D44DF" w:rsidP="009D44DF">
      <w:pPr>
        <w:jc w:val="both"/>
        <w:rPr>
          <w:lang w:eastAsia="en-GB"/>
        </w:rPr>
      </w:pPr>
      <w:bookmarkStart w:id="90" w:name="_Toc168404715"/>
      <w:bookmarkStart w:id="91" w:name="_Toc147389935"/>
      <w:bookmarkStart w:id="92" w:name="_Toc147392416"/>
      <w:bookmarkStart w:id="93" w:name="_Toc147394716"/>
      <w:bookmarkStart w:id="94" w:name="_Toc148528053"/>
      <w:bookmarkStart w:id="95" w:name="_Toc149143809"/>
      <w:bookmarkStart w:id="96" w:name="_Toc149905924"/>
      <w:bookmarkStart w:id="97" w:name="_Toc149906157"/>
      <w:bookmarkStart w:id="98" w:name="_Toc150357188"/>
      <w:bookmarkStart w:id="99" w:name="_Toc151106392"/>
      <w:r w:rsidRPr="00D346E7">
        <w:rPr>
          <w:rFonts w:eastAsia="Cambria" w:cs="Times New Roman"/>
          <w:szCs w:val="24"/>
          <w:lang w:eastAsia="lv-LV"/>
        </w:rPr>
        <w:t>Bāzes scenārijā 2030. gadā lauksaimniecībā SEG emisijas pieaugušas lauksaimniecības dzīvnieku zarnu fermentācijas procesiem (5 %), lauksaimniecības augšņu</w:t>
      </w:r>
      <w:r w:rsidR="00857535">
        <w:rPr>
          <w:rFonts w:eastAsia="Cambria" w:cs="Times New Roman"/>
          <w:szCs w:val="24"/>
          <w:lang w:eastAsia="lv-LV"/>
        </w:rPr>
        <w:t xml:space="preserve"> </w:t>
      </w:r>
      <w:r w:rsidRPr="00D346E7">
        <w:rPr>
          <w:rFonts w:eastAsia="Cambria" w:cs="Times New Roman"/>
          <w:szCs w:val="24"/>
          <w:lang w:eastAsia="lv-LV"/>
        </w:rPr>
        <w:t>(41 %), kaļķošanas un karbamīdu izmantošanas (virs 100 %, bet jāņem vērā, ka šo apakšsektoru īpatsvars ir salīdzinoši neliels) salīdzinājumā ar 2005. gadu. Savukārt SEG emisijas 2030. gadā</w:t>
      </w:r>
      <w:r w:rsidRPr="00D346E7" w:rsidDel="0008311A">
        <w:rPr>
          <w:rFonts w:eastAsia="Cambria" w:cs="Times New Roman"/>
          <w:szCs w:val="24"/>
          <w:lang w:eastAsia="lv-LV"/>
        </w:rPr>
        <w:t xml:space="preserve"> </w:t>
      </w:r>
      <w:r w:rsidRPr="00D346E7">
        <w:rPr>
          <w:rFonts w:eastAsia="Cambria" w:cs="Times New Roman"/>
          <w:szCs w:val="24"/>
          <w:lang w:eastAsia="lv-LV"/>
        </w:rPr>
        <w:t>samazinājušās kūtsmēslu apsaimniekošanas sektorā (24 %) salīdzinājumā ar 2005. gadu.</w:t>
      </w:r>
    </w:p>
    <w:p w14:paraId="72B8C189" w14:textId="77777777" w:rsidR="00115DB7" w:rsidRPr="007A6B93" w:rsidRDefault="00115DB7" w:rsidP="00115DB7">
      <w:pPr>
        <w:pStyle w:val="Heading31"/>
        <w:spacing w:before="120"/>
        <w:jc w:val="both"/>
        <w:rPr>
          <w:rFonts w:ascii="Times New Roman" w:hAnsi="Times New Roman"/>
          <w:sz w:val="24"/>
          <w:szCs w:val="24"/>
          <w:lang w:val="lv-LV"/>
        </w:rPr>
      </w:pPr>
      <w:bookmarkStart w:id="100" w:name="_Toc169602243"/>
      <w:r w:rsidRPr="007A6B93">
        <w:rPr>
          <w:rStyle w:val="normaltextrun"/>
          <w:rFonts w:ascii="Times New Roman" w:hAnsi="Times New Roman"/>
          <w:sz w:val="24"/>
          <w:szCs w:val="24"/>
          <w:lang w:val="lv-LV"/>
        </w:rPr>
        <w:lastRenderedPageBreak/>
        <w:t>3.2.2.</w:t>
      </w:r>
      <w:r w:rsidR="00FA1220">
        <w:rPr>
          <w:rStyle w:val="normaltextrun"/>
          <w:rFonts w:ascii="Times New Roman" w:hAnsi="Times New Roman"/>
          <w:sz w:val="24"/>
          <w:szCs w:val="24"/>
          <w:lang w:val="lv-LV"/>
        </w:rPr>
        <w:t>6</w:t>
      </w:r>
      <w:r w:rsidRPr="007A6B93">
        <w:rPr>
          <w:rStyle w:val="normaltextrun"/>
          <w:rFonts w:ascii="Times New Roman" w:hAnsi="Times New Roman"/>
          <w:sz w:val="24"/>
          <w:szCs w:val="24"/>
          <w:lang w:val="lv-LV"/>
        </w:rPr>
        <w:t xml:space="preserve">. </w:t>
      </w:r>
      <w:bookmarkEnd w:id="90"/>
      <w:r w:rsidRPr="00115DB7">
        <w:rPr>
          <w:rStyle w:val="normaltextrun"/>
          <w:rFonts w:ascii="Times New Roman" w:hAnsi="Times New Roman"/>
          <w:sz w:val="24"/>
          <w:szCs w:val="24"/>
          <w:lang w:val="lv-LV"/>
        </w:rPr>
        <w:t>Atkritumu apsaimniekošana</w:t>
      </w:r>
      <w:bookmarkEnd w:id="100"/>
      <w:r w:rsidRPr="007A6B93">
        <w:rPr>
          <w:rStyle w:val="eop"/>
          <w:rFonts w:ascii="Times New Roman" w:hAnsi="Times New Roman"/>
          <w:sz w:val="24"/>
          <w:szCs w:val="24"/>
          <w:lang w:val="lv-LV"/>
        </w:rPr>
        <w:t> </w:t>
      </w:r>
    </w:p>
    <w:bookmarkEnd w:id="91"/>
    <w:bookmarkEnd w:id="92"/>
    <w:bookmarkEnd w:id="93"/>
    <w:bookmarkEnd w:id="94"/>
    <w:bookmarkEnd w:id="95"/>
    <w:bookmarkEnd w:id="96"/>
    <w:bookmarkEnd w:id="97"/>
    <w:bookmarkEnd w:id="98"/>
    <w:bookmarkEnd w:id="99"/>
    <w:p w14:paraId="34E5A86B"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Atkritumu apsaimniekošanas sektorā tiek ietverta atkritumu apsaimniekošana un notekūdeņu apsaimniekošana. Prognozējot SEG emisijas no atkritumu apglabāšanas, sadedzināšanas un kompostēšanas, tiek izmantotas emisiju aprēķinu metodes no 2006. gada KPSP vadlīnijām. Prognozējot apglabāto, sadedzināto un kompostēto atkritumu daudzumus, tiek izmantotas aplēses no Atkritumu apsaimniekošanas valsts plāna 2021. - 2028.gadam, pieņemot ka Latvija izpildīs noteiktos atkritumu pārstrādes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697AF041"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 xml:space="preserve">Prognozējot SEG emisijas no notekūdeņu apsaimniekošanas, arī tiek izmantotas emisiju aprēķinu metodes no 2006. gada KPSP vadlīnijām, iedzīvotāju skaita un IKP prognozes, kā arī esošās tendences attiecībā uz notekūdeņu apsaimniekošanu, tas ir </w:t>
      </w:r>
      <w:r w:rsidRPr="00D346E7">
        <w:rPr>
          <w:rFonts w:cs="Times New Roman"/>
          <w:szCs w:val="24"/>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p>
    <w:p w14:paraId="2C5FD038"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72C3CFAE" w14:textId="77777777" w:rsidR="00D346E7" w:rsidRPr="00D346E7" w:rsidRDefault="00D346E7" w:rsidP="00B71063">
      <w:pPr>
        <w:pStyle w:val="ListParagraph"/>
        <w:numPr>
          <w:ilvl w:val="0"/>
          <w:numId w:val="42"/>
        </w:numPr>
        <w:spacing w:before="120" w:after="120"/>
        <w:contextualSpacing/>
        <w:jc w:val="both"/>
        <w:rPr>
          <w:rFonts w:eastAsia="Cambria" w:cs="Times New Roman"/>
          <w:szCs w:val="24"/>
        </w:rPr>
      </w:pPr>
      <w:r w:rsidRPr="00D346E7">
        <w:rPr>
          <w:rFonts w:eastAsia="Cambria" w:cs="Times New Roman"/>
          <w:szCs w:val="24"/>
        </w:rPr>
        <w:t>Sadzīves atkritumu pārstrādes palielināšana;</w:t>
      </w:r>
    </w:p>
    <w:p w14:paraId="5D033028" w14:textId="77777777" w:rsidR="00D346E7" w:rsidRPr="00D346E7" w:rsidRDefault="00D346E7" w:rsidP="00B71063">
      <w:pPr>
        <w:pStyle w:val="ListParagraph"/>
        <w:numPr>
          <w:ilvl w:val="0"/>
          <w:numId w:val="42"/>
        </w:numPr>
        <w:spacing w:before="120" w:after="120"/>
        <w:contextualSpacing/>
        <w:jc w:val="both"/>
        <w:rPr>
          <w:rFonts w:eastAsia="Cambria" w:cs="Times New Roman"/>
          <w:szCs w:val="24"/>
        </w:rPr>
      </w:pPr>
      <w:r w:rsidRPr="00D346E7">
        <w:rPr>
          <w:rFonts w:eastAsia="Cambria" w:cs="Times New Roman"/>
          <w:szCs w:val="24"/>
        </w:rPr>
        <w:t>Palielināta bioloģisko atkritumu sagatavošana pārstrādei (līdz 210 000 t gadā);</w:t>
      </w:r>
    </w:p>
    <w:p w14:paraId="5E5B68BD" w14:textId="77777777" w:rsidR="00D346E7" w:rsidRPr="00D346E7" w:rsidRDefault="00D346E7" w:rsidP="00B71063">
      <w:pPr>
        <w:pStyle w:val="ListParagraph"/>
        <w:numPr>
          <w:ilvl w:val="0"/>
          <w:numId w:val="42"/>
        </w:numPr>
        <w:spacing w:before="120" w:after="120"/>
        <w:contextualSpacing/>
        <w:jc w:val="both"/>
        <w:rPr>
          <w:rFonts w:eastAsia="Cambria" w:cs="Times New Roman"/>
          <w:szCs w:val="24"/>
        </w:rPr>
      </w:pPr>
      <w:r w:rsidRPr="00D346E7">
        <w:rPr>
          <w:rFonts w:eastAsia="Cambria" w:cs="Times New Roman"/>
          <w:szCs w:val="24"/>
        </w:rPr>
        <w:t>Palielināta bioloģisko atkritumu pārstrāde (līdz 110 000 t gadā).</w:t>
      </w:r>
    </w:p>
    <w:p w14:paraId="73CDFE50"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Bioloģisko atkritumu sagatavošana pārstrādei palielināšana sniedz 2 kt CO</w:t>
      </w:r>
      <w:r w:rsidRPr="00D346E7">
        <w:rPr>
          <w:rFonts w:eastAsia="Cambria" w:cs="Times New Roman"/>
          <w:szCs w:val="24"/>
          <w:vertAlign w:val="subscript"/>
        </w:rPr>
        <w:t>2</w:t>
      </w:r>
      <w:r w:rsidRPr="00D346E7">
        <w:rPr>
          <w:rFonts w:eastAsia="Cambria" w:cs="Times New Roman"/>
          <w:szCs w:val="24"/>
        </w:rPr>
        <w:t xml:space="preserve"> ekv./gadā emisiju ietaupījuma.</w:t>
      </w:r>
    </w:p>
    <w:p w14:paraId="40A2333B" w14:textId="77777777" w:rsidR="009D44DF"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Bāzes scenārijā atkritumu apsaimniekošanas sektors </w:t>
      </w:r>
      <w:r w:rsidR="00367DDE">
        <w:rPr>
          <w:rFonts w:eastAsia="Cambria" w:cs="Times New Roman"/>
          <w:szCs w:val="24"/>
          <w:lang w:eastAsia="lv-LV"/>
        </w:rPr>
        <w:t>(skat. 3.15</w:t>
      </w:r>
      <w:r w:rsidR="00C263F0">
        <w:rPr>
          <w:rFonts w:eastAsia="Cambria" w:cs="Times New Roman"/>
          <w:szCs w:val="24"/>
          <w:lang w:eastAsia="lv-LV"/>
        </w:rPr>
        <w:t xml:space="preserve">. att.) </w:t>
      </w:r>
      <w:r w:rsidRPr="00D346E7">
        <w:rPr>
          <w:rFonts w:eastAsia="Cambria" w:cs="Times New Roman"/>
          <w:szCs w:val="24"/>
          <w:lang w:eastAsia="lv-LV"/>
        </w:rPr>
        <w:t>2030. gadā samazinās SEG emisijas par 39%, salīdzinot ar 2005. gadu. SEG emisijas būs pieaugušas atkritumu bioloģiskās pārstrādes apakšsektorā (116%) salīdzinājumā ar 2005. gadu. Savukārt SEG emisijas 2030. gadā būs samazinājušās atkritumu apglabāšanas (-40 %) un notekūdeņu attīrīšana un novadīšanas (-58 %) apakšsektoros.</w:t>
      </w:r>
    </w:p>
    <w:p w14:paraId="29943521" w14:textId="77777777" w:rsidR="009D44DF" w:rsidRDefault="009D44DF" w:rsidP="00D346E7">
      <w:pPr>
        <w:spacing w:before="120" w:after="120"/>
        <w:jc w:val="both"/>
        <w:rPr>
          <w:rFonts w:eastAsia="Cambria" w:cs="Times New Roman"/>
          <w:szCs w:val="24"/>
          <w:lang w:eastAsia="lv-LV"/>
        </w:rPr>
      </w:pPr>
    </w:p>
    <w:p w14:paraId="35C6EC89" w14:textId="1082FDF8"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4CFACD4E" wp14:editId="4C1303BB">
            <wp:extent cx="3971925" cy="2143125"/>
            <wp:effectExtent l="0" t="0" r="9525" b="9525"/>
            <wp:docPr id="16" name="Picture 115271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7108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1925" cy="2143125"/>
                    </a:xfrm>
                    <a:prstGeom prst="rect">
                      <a:avLst/>
                    </a:prstGeom>
                    <a:noFill/>
                    <a:ln>
                      <a:noFill/>
                    </a:ln>
                  </pic:spPr>
                </pic:pic>
              </a:graphicData>
            </a:graphic>
          </wp:inline>
        </w:drawing>
      </w:r>
    </w:p>
    <w:p w14:paraId="2B6D0A6E" w14:textId="464554AE" w:rsidR="00D346E7" w:rsidRPr="00D346E7" w:rsidRDefault="00367DDE" w:rsidP="009D44DF">
      <w:pPr>
        <w:pStyle w:val="Caption"/>
        <w:keepNext w:val="0"/>
        <w:jc w:val="left"/>
        <w:rPr>
          <w:rFonts w:eastAsia="Cambria"/>
          <w:sz w:val="24"/>
          <w:szCs w:val="24"/>
        </w:rPr>
      </w:pPr>
      <w:r>
        <w:rPr>
          <w:rFonts w:eastAsia="Cambria"/>
          <w:sz w:val="24"/>
          <w:szCs w:val="24"/>
          <w:lang w:eastAsia="lv-LV"/>
        </w:rPr>
        <w:t>3.15</w:t>
      </w:r>
      <w:r w:rsidR="00D346E7" w:rsidRPr="00D346E7">
        <w:rPr>
          <w:rFonts w:eastAsia="Cambria"/>
          <w:sz w:val="24"/>
          <w:szCs w:val="24"/>
          <w:lang w:eastAsia="lv-LV"/>
        </w:rPr>
        <w:t>. attēls.</w:t>
      </w:r>
      <w:r w:rsidR="00857535">
        <w:rPr>
          <w:rFonts w:eastAsia="Cambria"/>
          <w:sz w:val="24"/>
          <w:szCs w:val="24"/>
          <w:lang w:eastAsia="lv-LV"/>
        </w:rPr>
        <w:t xml:space="preserve"> </w:t>
      </w:r>
      <w:r w:rsidR="00D346E7" w:rsidRPr="00D346E7">
        <w:rPr>
          <w:rFonts w:eastAsia="Cambria"/>
          <w:sz w:val="24"/>
          <w:szCs w:val="24"/>
        </w:rPr>
        <w:t>Atkritumu apsaimniekošanas sektora SEG emisijas 2005. - 2030. gadā (bāzes scenārijs) (kt CO</w:t>
      </w:r>
      <w:r w:rsidR="00D346E7" w:rsidRPr="00D346E7">
        <w:rPr>
          <w:rFonts w:eastAsia="Cambria"/>
          <w:sz w:val="24"/>
          <w:szCs w:val="24"/>
          <w:vertAlign w:val="subscript"/>
        </w:rPr>
        <w:t>2</w:t>
      </w:r>
      <w:r w:rsidR="00D346E7" w:rsidRPr="00D346E7">
        <w:rPr>
          <w:rFonts w:eastAsia="Cambria"/>
          <w:sz w:val="24"/>
          <w:szCs w:val="24"/>
        </w:rPr>
        <w:t xml:space="preserve"> ekv.)</w:t>
      </w:r>
    </w:p>
    <w:p w14:paraId="1135DC74" w14:textId="77777777" w:rsidR="00FA1220" w:rsidRDefault="00FA1220" w:rsidP="009D44DF">
      <w:pPr>
        <w:pStyle w:val="Heading31"/>
        <w:keepNext w:val="0"/>
        <w:spacing w:before="120"/>
        <w:jc w:val="both"/>
        <w:rPr>
          <w:rStyle w:val="normaltextrun"/>
          <w:rFonts w:ascii="Times New Roman" w:hAnsi="Times New Roman"/>
          <w:sz w:val="24"/>
          <w:szCs w:val="24"/>
          <w:lang w:val="lv-LV"/>
        </w:rPr>
      </w:pPr>
      <w:bookmarkStart w:id="101" w:name="_Toc147389936"/>
      <w:bookmarkStart w:id="102" w:name="_Toc147392417"/>
      <w:bookmarkStart w:id="103" w:name="_Toc147394717"/>
      <w:bookmarkStart w:id="104" w:name="_Toc148528054"/>
      <w:bookmarkStart w:id="105" w:name="_Toc149143810"/>
      <w:bookmarkStart w:id="106" w:name="_Toc149905925"/>
      <w:bookmarkStart w:id="107" w:name="_Toc149906158"/>
      <w:bookmarkStart w:id="108" w:name="_Toc150357189"/>
      <w:bookmarkStart w:id="109" w:name="_Toc151106393"/>
    </w:p>
    <w:p w14:paraId="5A571459" w14:textId="77777777" w:rsidR="00FA1220" w:rsidRPr="007A6B93" w:rsidRDefault="009D44DF" w:rsidP="009D44DF">
      <w:pPr>
        <w:pStyle w:val="Heading31"/>
        <w:keepNext w:val="0"/>
        <w:spacing w:before="120"/>
        <w:jc w:val="both"/>
        <w:rPr>
          <w:rFonts w:ascii="Times New Roman" w:hAnsi="Times New Roman"/>
          <w:sz w:val="24"/>
          <w:szCs w:val="24"/>
          <w:lang w:val="lv-LV"/>
        </w:rPr>
      </w:pPr>
      <w:r>
        <w:rPr>
          <w:rStyle w:val="normaltextrun"/>
          <w:rFonts w:ascii="Times New Roman" w:hAnsi="Times New Roman"/>
          <w:sz w:val="24"/>
          <w:szCs w:val="24"/>
          <w:lang w:val="lv-LV"/>
        </w:rPr>
        <w:br w:type="page"/>
      </w:r>
      <w:bookmarkStart w:id="110" w:name="_Toc169602244"/>
      <w:r w:rsidR="00FA1220" w:rsidRPr="007A6B93">
        <w:rPr>
          <w:rStyle w:val="normaltextrun"/>
          <w:rFonts w:ascii="Times New Roman" w:hAnsi="Times New Roman"/>
          <w:sz w:val="24"/>
          <w:szCs w:val="24"/>
          <w:lang w:val="lv-LV"/>
        </w:rPr>
        <w:lastRenderedPageBreak/>
        <w:t>3.2.2.</w:t>
      </w:r>
      <w:r w:rsidR="00FA1220">
        <w:rPr>
          <w:rStyle w:val="normaltextrun"/>
          <w:rFonts w:ascii="Times New Roman" w:hAnsi="Times New Roman"/>
          <w:sz w:val="24"/>
          <w:szCs w:val="24"/>
          <w:lang w:val="lv-LV"/>
        </w:rPr>
        <w:t>7</w:t>
      </w:r>
      <w:r w:rsidR="00FA1220" w:rsidRPr="007A6B93">
        <w:rPr>
          <w:rStyle w:val="normaltextrun"/>
          <w:rFonts w:ascii="Times New Roman" w:hAnsi="Times New Roman"/>
          <w:sz w:val="24"/>
          <w:szCs w:val="24"/>
          <w:lang w:val="lv-LV"/>
        </w:rPr>
        <w:t xml:space="preserve">. </w:t>
      </w:r>
      <w:r w:rsidR="00FA1220" w:rsidRPr="00FA1220">
        <w:rPr>
          <w:rStyle w:val="normaltextrun"/>
          <w:rFonts w:ascii="Times New Roman" w:hAnsi="Times New Roman"/>
          <w:sz w:val="24"/>
          <w:szCs w:val="24"/>
          <w:lang w:val="lv-LV"/>
        </w:rPr>
        <w:t>ZIZIMM sektors</w:t>
      </w:r>
      <w:bookmarkEnd w:id="110"/>
      <w:r w:rsidR="00FA1220" w:rsidRPr="007A6B93">
        <w:rPr>
          <w:rStyle w:val="eop"/>
          <w:rFonts w:ascii="Times New Roman" w:hAnsi="Times New Roman"/>
          <w:sz w:val="24"/>
          <w:szCs w:val="24"/>
          <w:lang w:val="lv-LV"/>
        </w:rPr>
        <w:t> </w:t>
      </w:r>
    </w:p>
    <w:bookmarkEnd w:id="101"/>
    <w:bookmarkEnd w:id="102"/>
    <w:bookmarkEnd w:id="103"/>
    <w:bookmarkEnd w:id="104"/>
    <w:bookmarkEnd w:id="105"/>
    <w:bookmarkEnd w:id="106"/>
    <w:bookmarkEnd w:id="107"/>
    <w:bookmarkEnd w:id="108"/>
    <w:bookmarkEnd w:id="109"/>
    <w:p w14:paraId="59B47BBD" w14:textId="77777777" w:rsidR="00D346E7" w:rsidRPr="00D346E7" w:rsidRDefault="00D346E7" w:rsidP="009D44DF">
      <w:pPr>
        <w:spacing w:before="120" w:after="120"/>
        <w:jc w:val="both"/>
        <w:rPr>
          <w:rFonts w:eastAsia="Cambria" w:cs="Times New Roman"/>
          <w:szCs w:val="24"/>
        </w:rPr>
      </w:pPr>
      <w:r w:rsidRPr="00D346E7">
        <w:rPr>
          <w:rFonts w:eastAsia="Cambria" w:cs="Times New Roman"/>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D346E7">
        <w:rPr>
          <w:rFonts w:eastAsia="Cambria" w:cs="Times New Roman"/>
          <w:szCs w:val="24"/>
          <w:shd w:val="clear" w:color="auto" w:fill="FFFFFF"/>
        </w:rPr>
        <w:t>apmežotā platība valdošo koku sugu un meža tipu griezumā, potenciālais krājas pieaugums koku sugu un meža tipu griezumā, jaunaudžu kopšana meža tipu un valdošās sugas griezumā u.c.</w:t>
      </w:r>
      <w:r w:rsidRPr="00D346E7">
        <w:rPr>
          <w:rFonts w:eastAsia="Cambria" w:cs="Times New Roman"/>
          <w:szCs w:val="24"/>
        </w:rPr>
        <w:t>) no sektorālās ministrijas tiek sagatavoti saskaņā ar MK noteikumu Nr. 675 VI daļu.</w:t>
      </w:r>
    </w:p>
    <w:p w14:paraId="7BFBE097"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08E40662"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Pākšaugu izmantošana lauksaimniecībā, saglabājoties pākšaugu sējplatībai 2015.-2020. gadu līmenī;</w:t>
      </w:r>
    </w:p>
    <w:p w14:paraId="2ED58517"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Aramzemju transformācija par zālājiem;</w:t>
      </w:r>
    </w:p>
    <w:p w14:paraId="505F92A1"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Meliorācijas sistēmu atjaunošana un modernizācija meža zemēs, nesamazinoties esošo meliorēto meža zemju platībai;</w:t>
      </w:r>
    </w:p>
    <w:p w14:paraId="7D890B11" w14:textId="77777777" w:rsidR="00D346E7" w:rsidRPr="00D346E7" w:rsidRDefault="00D346E7" w:rsidP="00B71063">
      <w:pPr>
        <w:pStyle w:val="ListParagraph"/>
        <w:numPr>
          <w:ilvl w:val="0"/>
          <w:numId w:val="35"/>
        </w:numPr>
        <w:spacing w:before="120" w:after="120"/>
        <w:contextualSpacing/>
        <w:jc w:val="both"/>
        <w:rPr>
          <w:rFonts w:eastAsia="Cambria" w:cs="Times New Roman"/>
          <w:szCs w:val="24"/>
        </w:rPr>
      </w:pPr>
      <w:r w:rsidRPr="00D346E7">
        <w:rPr>
          <w:rFonts w:eastAsia="Cambria" w:cs="Times New Roman"/>
          <w:szCs w:val="24"/>
        </w:rPr>
        <w:t>Apmežošana, kas veikta līdz 2020. gadam;</w:t>
      </w:r>
    </w:p>
    <w:p w14:paraId="0D7A908D"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Jaunaudžu kopšanas cirtes, saglabājoties izkopto jaunaudžu platībai kā vidēji 2015.-2020. gados;</w:t>
      </w:r>
    </w:p>
    <w:p w14:paraId="320830FD"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Meža atjaunošana pēc dabiskiem traucējumiem (ugunsgrēkiem, vēja bojājumiem).</w:t>
      </w:r>
    </w:p>
    <w:p w14:paraId="7F4C237C"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Saskaņā ar bāzes scenāriju 2030.gadā ZIZIMM sektorā tiek prognozēts CO</w:t>
      </w:r>
      <w:r w:rsidRPr="00D346E7">
        <w:rPr>
          <w:rFonts w:eastAsia="Cambria" w:cs="Times New Roman"/>
          <w:szCs w:val="24"/>
          <w:vertAlign w:val="subscript"/>
        </w:rPr>
        <w:t>2</w:t>
      </w:r>
      <w:r w:rsidRPr="00D346E7">
        <w:rPr>
          <w:rFonts w:eastAsia="Cambria" w:cs="Times New Roman"/>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26FA5A7D" w14:textId="497D12BE" w:rsidR="00D346E7" w:rsidRPr="00D346E7" w:rsidRDefault="00D346E7" w:rsidP="00D346E7">
      <w:pPr>
        <w:spacing w:before="120" w:after="120"/>
        <w:jc w:val="both"/>
        <w:rPr>
          <w:rFonts w:eastAsia="Cambria" w:cs="Times New Roman"/>
          <w:szCs w:val="24"/>
        </w:rPr>
      </w:pPr>
      <w:r w:rsidRPr="00D346E7">
        <w:rPr>
          <w:rFonts w:eastAsia="Cambria" w:cs="Times New Roman"/>
          <w:szCs w:val="24"/>
        </w:rPr>
        <w:t>SEG emisijas, ko rada aramzemes, zālāji, mitrāji un apbūve, kopš 1990. 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 gada līdz 2020. gadam turpinājies oglekļa uzkrājuma pieaugums, tomēr, salīdzinot ar 1990. gadu,</w:t>
      </w:r>
      <w:r w:rsidR="00857535">
        <w:rPr>
          <w:rFonts w:eastAsia="Cambria" w:cs="Times New Roman"/>
          <w:szCs w:val="24"/>
        </w:rPr>
        <w:t xml:space="preserve"> </w:t>
      </w:r>
      <w:r w:rsidRPr="00D346E7">
        <w:rPr>
          <w:rFonts w:eastAsia="Cambria" w:cs="Times New Roman"/>
          <w:szCs w:val="24"/>
        </w:rPr>
        <w:t>oglekļa akumulācijas temps meža ekosistēmā ir samazinājies.</w:t>
      </w:r>
    </w:p>
    <w:p w14:paraId="6D6E2C6C" w14:textId="614E6B11" w:rsidR="00D346E7" w:rsidRPr="00D346E7" w:rsidRDefault="00D346E7" w:rsidP="00D346E7">
      <w:pPr>
        <w:spacing w:before="120" w:after="120"/>
        <w:jc w:val="both"/>
        <w:rPr>
          <w:rFonts w:eastAsia="Cambria" w:cs="Times New Roman"/>
          <w:szCs w:val="24"/>
        </w:rPr>
      </w:pPr>
      <w:r w:rsidRPr="00D346E7">
        <w:rPr>
          <w:rFonts w:eastAsia="Cambria" w:cs="Times New Roman"/>
          <w:szCs w:val="24"/>
        </w:rPr>
        <w:t>CO</w:t>
      </w:r>
      <w:r w:rsidRPr="00D346E7">
        <w:rPr>
          <w:rFonts w:eastAsia="Cambria" w:cs="Times New Roman"/>
          <w:szCs w:val="24"/>
          <w:vertAlign w:val="subscript"/>
        </w:rPr>
        <w:t>2</w:t>
      </w:r>
      <w:r w:rsidRPr="00D346E7">
        <w:rPr>
          <w:rFonts w:eastAsia="Cambria" w:cs="Times New Roman"/>
          <w:szCs w:val="24"/>
        </w:rPr>
        <w:t xml:space="preserve"> piesaistes samazināšanos no 1990. gada sekmēja mežaudžu vecuma struktūras izmaiņas, kas būtiski palielināja koksnes resursu kopējo apjomu un</w:t>
      </w:r>
      <w:r w:rsidR="00857535">
        <w:rPr>
          <w:rFonts w:eastAsia="Cambria" w:cs="Times New Roman"/>
          <w:szCs w:val="24"/>
        </w:rPr>
        <w:t xml:space="preserve"> </w:t>
      </w:r>
      <w:r w:rsidRPr="00D346E7">
        <w:rPr>
          <w:rFonts w:eastAsia="Cambria" w:cs="Times New Roman"/>
          <w:szCs w:val="24"/>
        </w:rPr>
        <w:t>pieejamību, kā arī palielināja dabiskā atmiruma lomu oglekļa apritē meža ekosistēmā.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w:t>
      </w:r>
      <w:r w:rsidR="00857535">
        <w:rPr>
          <w:rFonts w:eastAsia="Cambria" w:cs="Times New Roman"/>
          <w:szCs w:val="24"/>
        </w:rPr>
        <w:t xml:space="preserve"> </w:t>
      </w:r>
      <w:r w:rsidRPr="00D346E7">
        <w:rPr>
          <w:rFonts w:eastAsia="Cambria" w:cs="Times New Roman"/>
          <w:szCs w:val="24"/>
        </w:rPr>
        <w:t>atbilstoši spēkā esošajām likumdošanas normām.</w:t>
      </w:r>
    </w:p>
    <w:p w14:paraId="36AB2239"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CO</w:t>
      </w:r>
      <w:r w:rsidRPr="00D346E7">
        <w:rPr>
          <w:rFonts w:eastAsia="Cambria" w:cs="Times New Roman"/>
          <w:szCs w:val="24"/>
          <w:vertAlign w:val="subscript"/>
        </w:rPr>
        <w:t>2</w:t>
      </w:r>
      <w:r w:rsidRPr="00D346E7">
        <w:rPr>
          <w:rFonts w:eastAsia="Cambria" w:cs="Times New Roman"/>
          <w:szCs w:val="24"/>
        </w:rPr>
        <w:t xml:space="preserve"> piesaistes samazināšanās prognoze </w:t>
      </w:r>
      <w:r w:rsidR="00367DDE">
        <w:rPr>
          <w:rFonts w:eastAsia="Cambria" w:cs="Times New Roman"/>
          <w:szCs w:val="24"/>
          <w:lang w:eastAsia="lv-LV"/>
        </w:rPr>
        <w:t>(skat. 3.16</w:t>
      </w:r>
      <w:r w:rsidR="00C263F0">
        <w:rPr>
          <w:rFonts w:eastAsia="Cambria" w:cs="Times New Roman"/>
          <w:szCs w:val="24"/>
          <w:lang w:eastAsia="lv-LV"/>
        </w:rPr>
        <w:t xml:space="preserve">. att.) </w:t>
      </w:r>
      <w:r w:rsidRPr="00D346E7">
        <w:rPr>
          <w:rFonts w:eastAsia="Cambria" w:cs="Times New Roman"/>
          <w:szCs w:val="24"/>
        </w:rPr>
        <w:t>pēc 2020. gada lielā mērā saistīta ar neto piesaistes samazināšanos koksnes produktos un nedzīvajā koksnē, jo, saglabājoties esošajam vai nedaudz mazākam mežizstrādes apjomam, neto CO</w:t>
      </w:r>
      <w:r w:rsidRPr="00D346E7">
        <w:rPr>
          <w:rFonts w:eastAsia="Cambria" w:cs="Times New Roman"/>
          <w:szCs w:val="24"/>
          <w:vertAlign w:val="subscript"/>
        </w:rPr>
        <w:t>2</w:t>
      </w:r>
      <w:r w:rsidRPr="00D346E7">
        <w:rPr>
          <w:rFonts w:eastAsia="Cambria" w:cs="Times New Roman"/>
          <w:szCs w:val="24"/>
        </w:rPr>
        <w:t xml:space="preserve"> piesaiste šajās krātuvēs tiecas uz nulli, jo piesaisti koksnes produktos un nedzīvajā koksnē kompensē emisijas, 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D346E7">
        <w:rPr>
          <w:rFonts w:eastAsia="Cambria" w:cs="Times New Roman"/>
          <w:szCs w:val="24"/>
          <w:vertAlign w:val="subscript"/>
        </w:rPr>
        <w:t>2</w:t>
      </w:r>
      <w:r w:rsidRPr="00D346E7">
        <w:rPr>
          <w:rFonts w:eastAsia="Cambria" w:cs="Times New Roman"/>
          <w:szCs w:val="24"/>
        </w:rPr>
        <w:t xml:space="preserve"> emisijas.</w:t>
      </w:r>
    </w:p>
    <w:p w14:paraId="5E4CA944" w14:textId="741C5095"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4CA300A0" wp14:editId="239DB458">
            <wp:extent cx="4057650" cy="2438400"/>
            <wp:effectExtent l="0" t="0" r="0" b="0"/>
            <wp:docPr id="17" name="Picture 1897089555"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089555" descr="A graph with different colored bars and number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650" cy="2438400"/>
                    </a:xfrm>
                    <a:prstGeom prst="rect">
                      <a:avLst/>
                    </a:prstGeom>
                    <a:noFill/>
                    <a:ln>
                      <a:noFill/>
                    </a:ln>
                  </pic:spPr>
                </pic:pic>
              </a:graphicData>
            </a:graphic>
          </wp:inline>
        </w:drawing>
      </w:r>
    </w:p>
    <w:p w14:paraId="3E067743" w14:textId="5D2BD027" w:rsidR="00D346E7" w:rsidRPr="00D346E7" w:rsidRDefault="00367DDE" w:rsidP="00C263F0">
      <w:pPr>
        <w:pStyle w:val="Caption"/>
        <w:jc w:val="left"/>
        <w:rPr>
          <w:rFonts w:eastAsia="Cambria"/>
          <w:bCs/>
          <w:sz w:val="24"/>
          <w:szCs w:val="24"/>
        </w:rPr>
      </w:pPr>
      <w:r>
        <w:rPr>
          <w:rFonts w:eastAsia="Cambria"/>
          <w:bCs/>
          <w:sz w:val="24"/>
          <w:szCs w:val="24"/>
          <w:lang w:eastAsia="lv-LV"/>
        </w:rPr>
        <w:t>3.16</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ZIZIMM sektora SEG emisijas 2005.-2030.gadā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191A0BDA" w14:textId="77777777" w:rsidR="00D346E7" w:rsidRDefault="00D346E7" w:rsidP="00D346E7">
      <w:pPr>
        <w:spacing w:before="120" w:after="120"/>
        <w:rPr>
          <w:rStyle w:val="normaltextrun"/>
          <w:rFonts w:cs="Times New Roman"/>
          <w:iCs/>
          <w:szCs w:val="24"/>
        </w:rPr>
      </w:pPr>
    </w:p>
    <w:p w14:paraId="17455AC0" w14:textId="77777777" w:rsidR="00FA1220" w:rsidRPr="00D346E7" w:rsidRDefault="00FA1220" w:rsidP="00D346E7">
      <w:pPr>
        <w:spacing w:before="120" w:after="120"/>
        <w:rPr>
          <w:rStyle w:val="normaltextrun"/>
          <w:rFonts w:cs="Times New Roman"/>
          <w:iCs/>
          <w:szCs w:val="24"/>
        </w:rPr>
      </w:pPr>
    </w:p>
    <w:p w14:paraId="5AB74633" w14:textId="77777777" w:rsidR="00FA1220" w:rsidRPr="007A6B93" w:rsidRDefault="00FA1220" w:rsidP="00FA1220">
      <w:pPr>
        <w:pStyle w:val="Heading31"/>
        <w:rPr>
          <w:rFonts w:ascii="Times New Roman" w:hAnsi="Times New Roman"/>
          <w:szCs w:val="26"/>
          <w:lang w:val="lv-LV"/>
        </w:rPr>
      </w:pPr>
      <w:bookmarkStart w:id="111" w:name="_Toc169602245"/>
      <w:bookmarkStart w:id="112" w:name="_Toc147389937"/>
      <w:bookmarkStart w:id="113" w:name="_Toc147392418"/>
      <w:bookmarkStart w:id="114" w:name="_Toc147394718"/>
      <w:bookmarkStart w:id="115" w:name="_Toc148528055"/>
      <w:bookmarkStart w:id="116" w:name="_Toc149143811"/>
      <w:bookmarkStart w:id="117" w:name="_Toc149905926"/>
      <w:bookmarkStart w:id="118" w:name="_Toc149906159"/>
      <w:bookmarkStart w:id="119" w:name="_Toc150357190"/>
      <w:bookmarkStart w:id="120" w:name="_Toc151106394"/>
      <w:r>
        <w:rPr>
          <w:rFonts w:ascii="Times New Roman" w:hAnsi="Times New Roman"/>
          <w:szCs w:val="26"/>
          <w:lang w:val="lv-LV"/>
        </w:rPr>
        <w:t>3.2.3</w:t>
      </w:r>
      <w:r w:rsidRPr="007A6B93">
        <w:rPr>
          <w:rFonts w:ascii="Times New Roman" w:hAnsi="Times New Roman"/>
          <w:szCs w:val="26"/>
          <w:lang w:val="lv-LV"/>
        </w:rPr>
        <w:t>.</w:t>
      </w:r>
      <w:r w:rsidRPr="007A6B93">
        <w:rPr>
          <w:rFonts w:ascii="Times New Roman" w:hAnsi="Times New Roman"/>
          <w:szCs w:val="26"/>
          <w:lang w:val="lv-LV"/>
        </w:rPr>
        <w:tab/>
      </w:r>
      <w:r w:rsidRPr="00470EF9">
        <w:rPr>
          <w:rFonts w:ascii="Times New Roman" w:hAnsi="Times New Roman"/>
          <w:szCs w:val="26"/>
          <w:lang w:val="lv-LV"/>
        </w:rPr>
        <w:t xml:space="preserve">Plāna </w:t>
      </w:r>
      <w:r>
        <w:rPr>
          <w:rFonts w:ascii="Times New Roman" w:hAnsi="Times New Roman"/>
          <w:szCs w:val="26"/>
          <w:lang w:val="lv-LV"/>
        </w:rPr>
        <w:t xml:space="preserve">pasākumu </w:t>
      </w:r>
      <w:r w:rsidRPr="00470EF9">
        <w:rPr>
          <w:rFonts w:ascii="Times New Roman" w:hAnsi="Times New Roman"/>
          <w:szCs w:val="26"/>
          <w:lang w:val="lv-LV"/>
        </w:rPr>
        <w:t>scenārija apraksts un iekļautie pasākumi</w:t>
      </w:r>
      <w:bookmarkEnd w:id="111"/>
    </w:p>
    <w:p w14:paraId="440CF32F" w14:textId="77777777" w:rsidR="00FA1220" w:rsidRPr="007A6B93" w:rsidRDefault="00FA1220" w:rsidP="00FA1220">
      <w:pPr>
        <w:pStyle w:val="Heading31"/>
        <w:spacing w:before="120"/>
        <w:jc w:val="both"/>
        <w:rPr>
          <w:rFonts w:ascii="Times New Roman" w:hAnsi="Times New Roman"/>
          <w:sz w:val="24"/>
          <w:szCs w:val="24"/>
          <w:lang w:val="lv-LV"/>
        </w:rPr>
      </w:pPr>
      <w:bookmarkStart w:id="121" w:name="_Toc169602246"/>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 xml:space="preserve">.1. </w:t>
      </w:r>
      <w:r>
        <w:rPr>
          <w:rStyle w:val="normaltextrun"/>
          <w:rFonts w:ascii="Times New Roman" w:hAnsi="Times New Roman"/>
          <w:sz w:val="24"/>
          <w:szCs w:val="24"/>
          <w:lang w:val="lv-LV"/>
        </w:rPr>
        <w:t>Enerģētika</w:t>
      </w:r>
      <w:bookmarkEnd w:id="121"/>
      <w:r w:rsidRPr="007A6B93">
        <w:rPr>
          <w:rStyle w:val="eop"/>
          <w:rFonts w:ascii="Times New Roman" w:hAnsi="Times New Roman"/>
          <w:sz w:val="24"/>
          <w:szCs w:val="24"/>
          <w:lang w:val="lv-LV"/>
        </w:rPr>
        <w:t> </w:t>
      </w:r>
    </w:p>
    <w:bookmarkEnd w:id="112"/>
    <w:bookmarkEnd w:id="113"/>
    <w:bookmarkEnd w:id="114"/>
    <w:bookmarkEnd w:id="115"/>
    <w:bookmarkEnd w:id="116"/>
    <w:bookmarkEnd w:id="117"/>
    <w:bookmarkEnd w:id="118"/>
    <w:bookmarkEnd w:id="119"/>
    <w:bookmarkEnd w:id="120"/>
    <w:p w14:paraId="3FDA380D"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Šajā aktualizētā NEKP projekta izstrādāšanas stadijā netika definēti konkrēti sasniedzamie mērķi attiecībā uz ES Direktīvas par atjaunīgo energoresursu enerģijas izmantošanas veicināšanu (RED III) AER daļu enerģijas galapatēriņā vai Direktīvā paredzētiem apakšmērķiem: RES-E; RES-DH; RES-H; RES-I; RES-BLD, kā arī mērķi attiecībā uz energoefektivitātes kumulatīvā mērķa sasniegšanu.</w:t>
      </w:r>
    </w:p>
    <w:p w14:paraId="31A52CBB"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NEKP pasākumu scenārijā papildus bāzes scenārijam enerģētikas sektorā ir iekļauti pasākumi, kas vērsti uz energoefektivitātes paaugstināšanu visos patērētāju sektoros:</w:t>
      </w:r>
    </w:p>
    <w:p w14:paraId="28B1CBE4"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Noteikt uzņēmumiem ar gada kopējo enerģijas patēriņu 1,7-2,8 GWh pienākumu veikt energoauditus un īstenot vismaz 3 no tajos noteiktajiem ieteikumiem;</w:t>
      </w:r>
    </w:p>
    <w:p w14:paraId="47E7A805"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Noteikt obligātu pienākums publiskajam sektoram ieviest enerģijas patēriņa monitoringu;</w:t>
      </w:r>
    </w:p>
    <w:p w14:paraId="1D259884"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Noteikt pienākumu lielajiem uzņēmumiem un lielajiem enerģijas patērētājiem, ES ETS operatoriem, valsts resoram un pašvaldībām ieviest sertificētu energopārvaldības sistēmu;</w:t>
      </w:r>
    </w:p>
    <w:p w14:paraId="4658CB7B"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 xml:space="preserve">Noteikt enerģijas patēriņa samazināšanas pienākumu pašvaldībām (1,9% samazinājums gadā); </w:t>
      </w:r>
    </w:p>
    <w:p w14:paraId="57830B1E"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Uzlabot daudzdzīvokļu ēku un privātmāju energoefektivitāte, t.sk. atbalsta programmu ietvaros, kas rezultētos, ka gadā vidēji var atjaunot līdz 1% no esošā dzīvojamā fonda;</w:t>
      </w:r>
    </w:p>
    <w:p w14:paraId="594E6B25"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Veicināt siltuma maksas sadalītāju, termostatu, individuālo siltumskaitītāju uzstādīšanu, t.sk. atbalsta programmu ietvaros.</w:t>
      </w:r>
    </w:p>
    <w:p w14:paraId="30713DD6" w14:textId="69E6399E"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Attiecībā uz enerģijas pārveidošanas sektoru tiek paredzēti šādi papildus pasākumi NEKP pasākumu</w:t>
      </w:r>
      <w:r w:rsidR="00857535">
        <w:rPr>
          <w:rFonts w:eastAsia="Cambria" w:cs="Times New Roman"/>
          <w:szCs w:val="24"/>
          <w:lang w:eastAsia="lv-LV"/>
        </w:rPr>
        <w:t xml:space="preserve"> </w:t>
      </w:r>
      <w:r w:rsidRPr="00D346E7">
        <w:rPr>
          <w:rFonts w:eastAsia="Cambria" w:cs="Times New Roman"/>
          <w:szCs w:val="24"/>
          <w:lang w:eastAsia="lv-LV"/>
        </w:rPr>
        <w:t xml:space="preserve">scenārijā: </w:t>
      </w:r>
    </w:p>
    <w:p w14:paraId="035E1AF4" w14:textId="77777777" w:rsidR="00D346E7" w:rsidRPr="00D346E7" w:rsidRDefault="00D346E7" w:rsidP="00B71063">
      <w:pPr>
        <w:pStyle w:val="ListParagraph"/>
        <w:numPr>
          <w:ilvl w:val="0"/>
          <w:numId w:val="44"/>
        </w:numPr>
        <w:spacing w:before="120" w:after="120"/>
        <w:contextualSpacing/>
        <w:jc w:val="both"/>
        <w:rPr>
          <w:rFonts w:eastAsia="Cambria" w:cs="Times New Roman"/>
          <w:szCs w:val="24"/>
          <w:lang w:eastAsia="lv-LV"/>
        </w:rPr>
      </w:pPr>
      <w:r w:rsidRPr="00D346E7">
        <w:rPr>
          <w:rFonts w:eastAsia="Cambria" w:cs="Times New Roman"/>
          <w:szCs w:val="24"/>
          <w:lang w:eastAsia="lv-LV"/>
        </w:rPr>
        <w:t>Nodrošināt CSA cietās biomasas sadedzināšanas iekārtu (ar siltumjaudu &gt;7,5MW) nomaiņu uz bezemisiju tehnoloģijām, t.i. saules enerģijas iekārtām, siltumsūkņiem;</w:t>
      </w:r>
    </w:p>
    <w:p w14:paraId="4C3CBECF" w14:textId="77777777" w:rsidR="00D346E7" w:rsidRPr="00D346E7" w:rsidRDefault="00D346E7" w:rsidP="00B71063">
      <w:pPr>
        <w:pStyle w:val="ListParagraph"/>
        <w:numPr>
          <w:ilvl w:val="0"/>
          <w:numId w:val="44"/>
        </w:numPr>
        <w:spacing w:before="120" w:after="120"/>
        <w:contextualSpacing/>
        <w:jc w:val="both"/>
        <w:rPr>
          <w:rFonts w:eastAsia="Cambria" w:cs="Times New Roman"/>
          <w:szCs w:val="24"/>
          <w:lang w:eastAsia="lv-LV"/>
        </w:rPr>
      </w:pPr>
      <w:r w:rsidRPr="00D346E7">
        <w:rPr>
          <w:rFonts w:eastAsia="Cambria" w:cs="Times New Roman"/>
          <w:szCs w:val="24"/>
          <w:lang w:eastAsia="lv-LV"/>
        </w:rPr>
        <w:t>Noteikt ikgadēju 3% AE īpatsvara pienākums dabasgāzes tirgotājiem.</w:t>
      </w:r>
    </w:p>
    <w:p w14:paraId="5170DF91" w14:textId="5307F945"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Jāatzīmē, ka NEKP pasākumu</w:t>
      </w:r>
      <w:r w:rsidR="00857535">
        <w:rPr>
          <w:rFonts w:eastAsia="Cambria" w:cs="Times New Roman"/>
          <w:szCs w:val="24"/>
          <w:lang w:eastAsia="lv-LV"/>
        </w:rPr>
        <w:t xml:space="preserve"> </w:t>
      </w:r>
      <w:r w:rsidRPr="00D346E7">
        <w:rPr>
          <w:rFonts w:eastAsia="Cambria" w:cs="Times New Roman"/>
          <w:szCs w:val="24"/>
          <w:lang w:eastAsia="lv-LV"/>
        </w:rPr>
        <w:t>scenārijs paredz EK izstrādātā priekšlikuma par</w:t>
      </w:r>
      <w:r w:rsidR="00857535">
        <w:rPr>
          <w:rFonts w:eastAsia="Cambria" w:cs="Times New Roman"/>
          <w:szCs w:val="24"/>
          <w:lang w:eastAsia="lv-LV"/>
        </w:rPr>
        <w:t xml:space="preserve"> </w:t>
      </w:r>
      <w:r w:rsidRPr="00D346E7">
        <w:rPr>
          <w:rFonts w:eastAsia="Cambria" w:cs="Times New Roman"/>
          <w:szCs w:val="24"/>
          <w:lang w:eastAsia="lv-LV"/>
        </w:rPr>
        <w:t xml:space="preserve">jau esošā ETS ar “jaunu ETS” (ETS2), ietverot ēkas un autotransportu paplašināšanu pēc 2025. gada. </w:t>
      </w:r>
      <w:r w:rsidRPr="00D346E7">
        <w:rPr>
          <w:rFonts w:eastAsia="Cambria" w:cs="Times New Roman"/>
          <w:szCs w:val="24"/>
          <w:lang w:eastAsia="lv-LV"/>
        </w:rPr>
        <w:lastRenderedPageBreak/>
        <w:t xml:space="preserve">Vismaz līdz 2030. gadam abas ETS sistēmas darbosies kā divas atsevišķas sistēmas. </w:t>
      </w:r>
      <w:r w:rsidRPr="00D346E7">
        <w:rPr>
          <w:rFonts w:eastAsia="Cambria" w:cs="Times New Roman"/>
          <w:szCs w:val="24"/>
        </w:rPr>
        <w:t>Emisijas kvotas tirgū ETS2 sistēmā būs pieejamas</w:t>
      </w:r>
      <w:r w:rsidR="00857535">
        <w:rPr>
          <w:rFonts w:eastAsia="Cambria" w:cs="Times New Roman"/>
          <w:szCs w:val="24"/>
        </w:rPr>
        <w:t xml:space="preserve"> </w:t>
      </w:r>
      <w:r w:rsidRPr="00D346E7">
        <w:rPr>
          <w:rFonts w:eastAsia="Cambria" w:cs="Times New Roman"/>
          <w:szCs w:val="24"/>
        </w:rPr>
        <w:t xml:space="preserve">sākot ar 2026. gadu. </w:t>
      </w:r>
      <w:r w:rsidRPr="00D346E7">
        <w:rPr>
          <w:rFonts w:eastAsia="Cambria" w:cs="Times New Roman"/>
          <w:szCs w:val="24"/>
          <w:lang w:eastAsia="lv-LV"/>
        </w:rPr>
        <w:t>ETS2 sistēmā tiks iekļauti kurināmā un degvielu piegādātāji. ETS2 tiek iekļautas CO</w:t>
      </w:r>
      <w:r w:rsidRPr="00D346E7">
        <w:rPr>
          <w:rFonts w:eastAsia="Cambria" w:cs="Times New Roman"/>
          <w:szCs w:val="24"/>
          <w:vertAlign w:val="subscript"/>
          <w:lang w:eastAsia="lv-LV"/>
        </w:rPr>
        <w:t>2</w:t>
      </w:r>
      <w:r w:rsidRPr="00D346E7">
        <w:rPr>
          <w:rFonts w:eastAsia="Cambria" w:cs="Times New Roman"/>
          <w:szCs w:val="24"/>
          <w:lang w:eastAsia="lv-LV"/>
        </w:rPr>
        <w:t xml:space="preserve"> emisijas, kas rodas no kurināmā patēriņa mājsaimniecībās un komerciālā un sabiedriskā sektorā, kā arī CO</w:t>
      </w:r>
      <w:r w:rsidRPr="00D346E7">
        <w:rPr>
          <w:rFonts w:eastAsia="Cambria" w:cs="Times New Roman"/>
          <w:szCs w:val="24"/>
          <w:vertAlign w:val="subscript"/>
          <w:lang w:eastAsia="lv-LV"/>
        </w:rPr>
        <w:t>2</w:t>
      </w:r>
      <w:r w:rsidRPr="00D346E7">
        <w:rPr>
          <w:rFonts w:eastAsia="Cambria" w:cs="Times New Roman"/>
          <w:szCs w:val="24"/>
          <w:lang w:eastAsia="lv-LV"/>
        </w:rPr>
        <w:t xml:space="preserve"> emisijas no degvielas un enerģijas patēriņa autotransporta sektorā. Modelī šī ETS2 sistēma ir modelēta līdzīgi jau esošai ETS sistēmai, tas ir, ar CO</w:t>
      </w:r>
      <w:r w:rsidRPr="00D346E7">
        <w:rPr>
          <w:rFonts w:eastAsia="Cambria" w:cs="Times New Roman"/>
          <w:szCs w:val="24"/>
          <w:vertAlign w:val="subscript"/>
          <w:lang w:eastAsia="lv-LV"/>
        </w:rPr>
        <w:t>2</w:t>
      </w:r>
      <w:r w:rsidRPr="00D346E7">
        <w:rPr>
          <w:rFonts w:eastAsia="Cambria" w:cs="Times New Roman"/>
          <w:szCs w:val="24"/>
          <w:lang w:eastAsia="lv-LV"/>
        </w:rPr>
        <w:t xml:space="preserve"> cenu (nodokli). Līdz 2030. gadam ETS2 CO</w:t>
      </w:r>
      <w:r w:rsidRPr="00D346E7">
        <w:rPr>
          <w:rFonts w:eastAsia="Cambria" w:cs="Times New Roman"/>
          <w:szCs w:val="24"/>
          <w:vertAlign w:val="subscript"/>
          <w:lang w:eastAsia="lv-LV"/>
        </w:rPr>
        <w:t>2</w:t>
      </w:r>
      <w:r w:rsidRPr="00D346E7">
        <w:rPr>
          <w:rFonts w:eastAsia="Cambria" w:cs="Times New Roman"/>
          <w:szCs w:val="24"/>
          <w:lang w:eastAsia="lv-LV"/>
        </w:rPr>
        <w:t xml:space="preserve"> cena ir 45 EUR/t CO</w:t>
      </w:r>
      <w:r w:rsidRPr="00D346E7">
        <w:rPr>
          <w:rFonts w:eastAsia="Cambria" w:cs="Times New Roman"/>
          <w:szCs w:val="24"/>
          <w:vertAlign w:val="subscript"/>
          <w:lang w:eastAsia="lv-LV"/>
        </w:rPr>
        <w:t>2,</w:t>
      </w:r>
      <w:r w:rsidRPr="00D346E7">
        <w:rPr>
          <w:rFonts w:eastAsia="Cambria" w:cs="Times New Roman"/>
          <w:szCs w:val="24"/>
          <w:lang w:eastAsia="lv-LV"/>
        </w:rPr>
        <w:t xml:space="preserve"> bet pēc 2030. gada tā ir tāda pati kā esošai ETS sistēmai (abas sistēmas apvienojas). </w:t>
      </w:r>
    </w:p>
    <w:p w14:paraId="723DABBE" w14:textId="3D46D8CD"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Aprēķinātā SEG emisiju prognoze mērķa scenārijam 2030. gadam ir par 43,3 % mazākas nekā 2005. gadā.</w:t>
      </w:r>
      <w:r w:rsidR="00857535">
        <w:rPr>
          <w:rFonts w:eastAsia="Cambria" w:cs="Times New Roman"/>
          <w:szCs w:val="24"/>
          <w:lang w:eastAsia="lv-LV"/>
        </w:rPr>
        <w:t xml:space="preserve"> </w:t>
      </w:r>
      <w:r w:rsidRPr="00D346E7">
        <w:rPr>
          <w:rFonts w:eastAsia="Cambria" w:cs="Times New Roman"/>
          <w:szCs w:val="24"/>
          <w:lang w:eastAsia="lv-LV"/>
        </w:rPr>
        <w:t>Plānotie pasākumi mērķa scenārijā samazina SEG emisijas 2030. gadā pret bāzes scenāriju par 8,6 %. Lielāko devumu SEG emisiju samazinājumā dod rūpniecības un enerģijas pārveidošanas sektors. Tomēr arī pārējos sektoros mērķa scenārijā SEG emisijas 2030. gadā ir par 2,4% - 13,6 % mazākas nekā bāzes scenārijā.</w:t>
      </w:r>
    </w:p>
    <w:p w14:paraId="42F291B5" w14:textId="77777777" w:rsidR="00FA1220" w:rsidRPr="007A6B93" w:rsidRDefault="00FA1220" w:rsidP="00FA1220">
      <w:pPr>
        <w:pStyle w:val="Heading31"/>
        <w:spacing w:before="120"/>
        <w:jc w:val="both"/>
        <w:rPr>
          <w:rFonts w:ascii="Times New Roman" w:hAnsi="Times New Roman"/>
          <w:sz w:val="24"/>
          <w:szCs w:val="24"/>
          <w:lang w:val="lv-LV"/>
        </w:rPr>
      </w:pPr>
      <w:bookmarkStart w:id="122" w:name="_Toc169602247"/>
      <w:bookmarkStart w:id="123" w:name="_Toc147389939"/>
      <w:bookmarkStart w:id="124" w:name="_Toc147392420"/>
      <w:bookmarkStart w:id="125" w:name="_Toc147394720"/>
      <w:bookmarkStart w:id="126" w:name="_Toc148528057"/>
      <w:bookmarkStart w:id="127" w:name="_Toc149143813"/>
      <w:bookmarkStart w:id="128" w:name="_Toc149905928"/>
      <w:bookmarkStart w:id="129" w:name="_Toc149906161"/>
      <w:bookmarkStart w:id="130" w:name="_Toc150357192"/>
      <w:bookmarkStart w:id="131" w:name="_Toc151106396"/>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sidR="00D53993">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AER</w:t>
      </w:r>
      <w:bookmarkEnd w:id="122"/>
      <w:r w:rsidRPr="007A6B93">
        <w:rPr>
          <w:rStyle w:val="eop"/>
          <w:rFonts w:ascii="Times New Roman" w:hAnsi="Times New Roman"/>
          <w:sz w:val="24"/>
          <w:szCs w:val="24"/>
          <w:lang w:val="lv-LV"/>
        </w:rPr>
        <w:t> </w:t>
      </w:r>
    </w:p>
    <w:bookmarkEnd w:id="123"/>
    <w:bookmarkEnd w:id="124"/>
    <w:bookmarkEnd w:id="125"/>
    <w:bookmarkEnd w:id="126"/>
    <w:bookmarkEnd w:id="127"/>
    <w:bookmarkEnd w:id="128"/>
    <w:bookmarkEnd w:id="129"/>
    <w:bookmarkEnd w:id="130"/>
    <w:bookmarkEnd w:id="131"/>
    <w:p w14:paraId="6ECCA5FE" w14:textId="77777777" w:rsidR="00D346E7" w:rsidRPr="00D346E7" w:rsidRDefault="00D53993" w:rsidP="00D346E7">
      <w:pPr>
        <w:spacing w:before="120" w:after="120"/>
        <w:jc w:val="both"/>
        <w:rPr>
          <w:rFonts w:eastAsia="Cambria" w:cs="Times New Roman"/>
          <w:szCs w:val="24"/>
          <w:lang w:eastAsia="lv-LV"/>
        </w:rPr>
      </w:pPr>
      <w:r>
        <w:rPr>
          <w:rFonts w:eastAsia="Cambria" w:cs="Times New Roman"/>
          <w:szCs w:val="24"/>
          <w:lang w:eastAsia="lv-LV"/>
        </w:rPr>
        <w:t>Plāna</w:t>
      </w:r>
      <w:r w:rsidR="00D346E7" w:rsidRPr="00D346E7">
        <w:rPr>
          <w:rFonts w:eastAsia="Cambria" w:cs="Times New Roman"/>
          <w:szCs w:val="24"/>
          <w:lang w:eastAsia="lv-LV"/>
        </w:rPr>
        <w:t xml:space="preserve"> pasākumu scenārijs papildus Bāzes scenārijā jau noteiktiem pasākumiem paredz pasākumu</w:t>
      </w:r>
      <w:r>
        <w:rPr>
          <w:rFonts w:eastAsia="Cambria" w:cs="Times New Roman"/>
          <w:szCs w:val="24"/>
          <w:lang w:eastAsia="lv-LV"/>
        </w:rPr>
        <w:t>s</w:t>
      </w:r>
      <w:r w:rsidR="00D346E7" w:rsidRPr="00D346E7">
        <w:rPr>
          <w:rFonts w:eastAsia="Cambria" w:cs="Times New Roman"/>
          <w:szCs w:val="24"/>
          <w:lang w:eastAsia="lv-LV"/>
        </w:rPr>
        <w:t>, kas vērsti uz fosilās degvielas aizvietošanu ar AER. Tas galvenokārt attiecas uz autotransporta sektoru, kur ir noteikts degvielas piegādātājiem autotransporta sektoram ikgadēju SEG emisiju intensitātes samazinājuma pienākums uz 2030.gadu. Mērķa scenārijs paredz CSA cietās biomasas sadedzināšanas iekārtu (ar siltumjaudu &gt;7,5MW) nomaiņu uz bezemisiju tehnoloģijām.</w:t>
      </w:r>
    </w:p>
    <w:p w14:paraId="3C08E7ED" w14:textId="029C7D2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Ņemot vērā minētos papildus pasākumus NEKP pasākumu scenārijam un pieņēmumus par fosilo energoresursu cenu prognozēm un tehnoloģiju (AER izmantojošās un fosilo kurināmo izmantojošās) izmaksām līdz 2030. un 2050.gadam</w:t>
      </w:r>
      <w:r w:rsidR="00C263F0">
        <w:rPr>
          <w:rFonts w:eastAsia="Cambria" w:cs="Times New Roman"/>
          <w:szCs w:val="24"/>
          <w:lang w:eastAsia="lv-LV"/>
        </w:rPr>
        <w:t xml:space="preserve"> (skat. 3.</w:t>
      </w:r>
      <w:r w:rsidR="00367DDE">
        <w:rPr>
          <w:rFonts w:eastAsia="Cambria" w:cs="Times New Roman"/>
          <w:szCs w:val="24"/>
          <w:lang w:eastAsia="lv-LV"/>
        </w:rPr>
        <w:t>17</w:t>
      </w:r>
      <w:r w:rsidR="00C263F0">
        <w:rPr>
          <w:rFonts w:eastAsia="Cambria" w:cs="Times New Roman"/>
          <w:szCs w:val="24"/>
          <w:lang w:eastAsia="lv-LV"/>
        </w:rPr>
        <w:t>. att.)</w:t>
      </w:r>
      <w:r w:rsidRPr="00D346E7">
        <w:rPr>
          <w:rFonts w:eastAsia="Cambria" w:cs="Times New Roman"/>
          <w:szCs w:val="24"/>
          <w:lang w:eastAsia="lv-LV"/>
        </w:rPr>
        <w:t>, NEKP pasākuma scenārijam aprēķinātā AER daļa bruto enerģijas galapatēriņā pieaug no 42,1 % 2020. gadā līdz</w:t>
      </w:r>
      <w:r w:rsidR="00857535">
        <w:rPr>
          <w:rFonts w:eastAsia="Cambria" w:cs="Times New Roman"/>
          <w:szCs w:val="24"/>
          <w:lang w:eastAsia="lv-LV"/>
        </w:rPr>
        <w:t xml:space="preserve"> </w:t>
      </w:r>
      <w:r w:rsidRPr="00D346E7">
        <w:rPr>
          <w:rFonts w:eastAsia="Cambria" w:cs="Times New Roman"/>
          <w:szCs w:val="24"/>
          <w:lang w:eastAsia="lv-LV"/>
        </w:rPr>
        <w:t>49,0% un 89,0% attiecīgi 2030. un 2050.gadā. AER patēriņš 2030.gadā ir par 8,8 % lielāks kā 2021. gadā.</w:t>
      </w:r>
    </w:p>
    <w:p w14:paraId="3CB6433E" w14:textId="4D3CD593" w:rsidR="00D346E7" w:rsidRPr="00D346E7" w:rsidRDefault="000654E1" w:rsidP="00D346E7">
      <w:pPr>
        <w:spacing w:before="120" w:after="120"/>
        <w:jc w:val="center"/>
        <w:rPr>
          <w:rFonts w:cs="Times New Roman"/>
          <w:szCs w:val="24"/>
          <w:lang w:eastAsia="lv-LV"/>
        </w:rPr>
      </w:pPr>
      <w:r>
        <w:rPr>
          <w:rFonts w:cs="Times New Roman"/>
          <w:noProof/>
          <w:szCs w:val="24"/>
          <w:lang w:eastAsia="lv-LV"/>
        </w:rPr>
        <w:drawing>
          <wp:inline distT="0" distB="0" distL="0" distR="0" wp14:anchorId="245BEB6B" wp14:editId="477ACDFA">
            <wp:extent cx="3924300" cy="2362200"/>
            <wp:effectExtent l="0" t="0" r="0" b="0"/>
            <wp:docPr id="18" name="Picture 30946075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60758" descr="A graph of a number of people&#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4300" cy="2362200"/>
                    </a:xfrm>
                    <a:prstGeom prst="rect">
                      <a:avLst/>
                    </a:prstGeom>
                    <a:noFill/>
                    <a:ln>
                      <a:noFill/>
                    </a:ln>
                  </pic:spPr>
                </pic:pic>
              </a:graphicData>
            </a:graphic>
          </wp:inline>
        </w:drawing>
      </w:r>
    </w:p>
    <w:p w14:paraId="373E7AB0" w14:textId="77777777" w:rsidR="00D346E7" w:rsidRPr="00D346E7" w:rsidRDefault="00C263F0" w:rsidP="00D346E7">
      <w:pPr>
        <w:pStyle w:val="Caption"/>
        <w:rPr>
          <w:rFonts w:eastAsia="Cambria"/>
          <w:sz w:val="24"/>
          <w:szCs w:val="24"/>
          <w:lang w:eastAsia="lv-LV"/>
        </w:rPr>
      </w:pPr>
      <w:r>
        <w:rPr>
          <w:rFonts w:eastAsia="Cambria"/>
          <w:sz w:val="24"/>
          <w:szCs w:val="24"/>
          <w:lang w:eastAsia="lv-LV"/>
        </w:rPr>
        <w:t>3.</w:t>
      </w:r>
      <w:r w:rsidR="00367DDE">
        <w:rPr>
          <w:rFonts w:eastAsia="Cambria"/>
          <w:sz w:val="24"/>
          <w:szCs w:val="24"/>
          <w:lang w:eastAsia="lv-LV"/>
        </w:rPr>
        <w:t>17</w:t>
      </w:r>
      <w:r w:rsidR="00D346E7" w:rsidRPr="00D346E7">
        <w:rPr>
          <w:rFonts w:eastAsia="Cambria"/>
          <w:sz w:val="24"/>
          <w:szCs w:val="24"/>
          <w:lang w:eastAsia="lv-LV"/>
        </w:rPr>
        <w:t>. attēls. NEKP pasākumu scenārija AER īpatsvars enerģijas galapatēriņā (labā ass – %) un AER īpatsvara indikatīvās attīstības prognozes periodā līdz 2050.gadam (kreisā ass – PJ)</w:t>
      </w:r>
      <w:r w:rsidR="00D346E7" w:rsidRPr="00D346E7">
        <w:rPr>
          <w:rStyle w:val="FootnoteReference"/>
          <w:rFonts w:eastAsia="Cambria"/>
          <w:sz w:val="24"/>
          <w:szCs w:val="24"/>
          <w:lang w:eastAsia="lv-LV"/>
        </w:rPr>
        <w:footnoteReference w:id="43"/>
      </w:r>
    </w:p>
    <w:p w14:paraId="72F5919E" w14:textId="77777777" w:rsidR="00367DDE" w:rsidRDefault="00367DDE" w:rsidP="00D346E7">
      <w:pPr>
        <w:spacing w:before="120" w:after="120"/>
        <w:jc w:val="both"/>
        <w:rPr>
          <w:rFonts w:eastAsia="Cambria" w:cs="Times New Roman"/>
          <w:szCs w:val="24"/>
        </w:rPr>
      </w:pPr>
    </w:p>
    <w:p w14:paraId="51E058E0" w14:textId="77777777" w:rsidR="00D346E7" w:rsidRDefault="00D346E7" w:rsidP="00D346E7">
      <w:pPr>
        <w:spacing w:before="120" w:after="120"/>
        <w:jc w:val="both"/>
        <w:rPr>
          <w:rFonts w:eastAsia="Cambria" w:cs="Times New Roman"/>
          <w:szCs w:val="24"/>
        </w:rPr>
      </w:pPr>
      <w:r w:rsidRPr="00D346E7">
        <w:rPr>
          <w:rFonts w:eastAsia="Cambria" w:cs="Times New Roman"/>
          <w:szCs w:val="24"/>
        </w:rPr>
        <w:t xml:space="preserve">Aprēķinātā SEG emisiju prognoze NEKP pasākumu scenārijam </w:t>
      </w:r>
      <w:r w:rsidR="00C263F0">
        <w:rPr>
          <w:rFonts w:eastAsia="Cambria" w:cs="Times New Roman"/>
          <w:szCs w:val="24"/>
          <w:lang w:eastAsia="lv-LV"/>
        </w:rPr>
        <w:t>(skat. 3.</w:t>
      </w:r>
      <w:r w:rsidR="00367DDE">
        <w:rPr>
          <w:rFonts w:eastAsia="Cambria" w:cs="Times New Roman"/>
          <w:szCs w:val="24"/>
          <w:lang w:eastAsia="lv-LV"/>
        </w:rPr>
        <w:t>18</w:t>
      </w:r>
      <w:r w:rsidR="00C263F0">
        <w:rPr>
          <w:rFonts w:eastAsia="Cambria" w:cs="Times New Roman"/>
          <w:szCs w:val="24"/>
          <w:lang w:eastAsia="lv-LV"/>
        </w:rPr>
        <w:t xml:space="preserve">. att.) </w:t>
      </w:r>
      <w:r w:rsidRPr="00D346E7">
        <w:rPr>
          <w:rFonts w:eastAsia="Cambria" w:cs="Times New Roman"/>
          <w:szCs w:val="24"/>
        </w:rPr>
        <w:t xml:space="preserve">parāda enerģētikas sektora radīto SEG emisiju pakāpenisku </w:t>
      </w:r>
      <w:r w:rsidR="00C263F0">
        <w:rPr>
          <w:rFonts w:eastAsia="Cambria" w:cs="Times New Roman"/>
          <w:szCs w:val="24"/>
        </w:rPr>
        <w:t>samazināšanos līdz 2050.gadam.</w:t>
      </w:r>
    </w:p>
    <w:p w14:paraId="26BE7A98" w14:textId="77777777" w:rsidR="00C263F0" w:rsidRPr="00D346E7" w:rsidRDefault="00C263F0" w:rsidP="00C263F0">
      <w:pPr>
        <w:spacing w:before="120" w:after="120"/>
        <w:jc w:val="both"/>
        <w:rPr>
          <w:rFonts w:eastAsia="Cambria" w:cs="Times New Roman"/>
          <w:szCs w:val="24"/>
        </w:rPr>
      </w:pPr>
      <w:r w:rsidRPr="00D346E7">
        <w:rPr>
          <w:rFonts w:eastAsia="Cambria" w:cs="Times New Roman"/>
          <w:szCs w:val="24"/>
        </w:rPr>
        <w:lastRenderedPageBreak/>
        <w:t>Aprēķinātās SEG emisiju samazināšanās notiek visos svarīgākajos apakšsektoros. Dēļ vēja un saules enerģijas izmantošanas palielināšanas elektroenerģijas ražošanā, aizvietojot dabasgāzi, kā arī biomasas un saules un siltumsūkņu izmantošanas CSAS, SEG emisijas enerģijas pārveidošanas sektorā 2030.gadā ir par 21,3% mazākas kā 2021. gadā. Jāatzīmē, ka enerģijas pārveidošanas sektora uzņēmumus, kā arī rūpniecības uzņēmumus ietekmē arī prognozētā cenas tendence ETS sistēmā (EUR/t CO</w:t>
      </w:r>
      <w:r w:rsidRPr="00D346E7">
        <w:rPr>
          <w:rFonts w:eastAsia="Cambria" w:cs="Times New Roman"/>
          <w:szCs w:val="24"/>
          <w:vertAlign w:val="subscript"/>
        </w:rPr>
        <w:t>2</w:t>
      </w:r>
      <w:r w:rsidRPr="00D346E7">
        <w:rPr>
          <w:rFonts w:eastAsia="Cambria" w:cs="Times New Roman"/>
          <w:szCs w:val="24"/>
        </w:rPr>
        <w:t xml:space="preserve">). </w:t>
      </w:r>
    </w:p>
    <w:p w14:paraId="7471DE4D" w14:textId="77777777" w:rsidR="00C263F0" w:rsidRPr="00D346E7" w:rsidRDefault="00C263F0" w:rsidP="00C263F0">
      <w:pPr>
        <w:spacing w:before="120" w:after="120"/>
        <w:jc w:val="both"/>
        <w:rPr>
          <w:rFonts w:eastAsia="Cambria" w:cs="Times New Roman"/>
          <w:szCs w:val="24"/>
        </w:rPr>
      </w:pPr>
      <w:r w:rsidRPr="00D346E7">
        <w:rPr>
          <w:rFonts w:eastAsia="Cambria" w:cs="Times New Roman"/>
          <w:szCs w:val="24"/>
        </w:rPr>
        <w:t>Rūpniecībā tiek plānoti energoefektivitātes pasākumi un pasākumi pārejai no fosilā kurināmā izmantošanas uz AER, galvenokārt biomasu. Līdz ar to aprēķinātās SEG emisijas sektorā 2030. gadam ir par 42,6% mazākas kā 2021. gadā.</w:t>
      </w:r>
    </w:p>
    <w:p w14:paraId="4F6A1BF2" w14:textId="6709A258" w:rsidR="00C263F0" w:rsidRPr="00D346E7" w:rsidRDefault="00C263F0" w:rsidP="00C263F0">
      <w:pPr>
        <w:spacing w:before="120" w:after="120"/>
        <w:jc w:val="both"/>
        <w:rPr>
          <w:rFonts w:eastAsia="Cambria" w:cs="Times New Roman"/>
          <w:szCs w:val="24"/>
        </w:rPr>
      </w:pPr>
      <w:r w:rsidRPr="00D346E7">
        <w:rPr>
          <w:rFonts w:eastAsia="Cambria" w:cs="Times New Roman"/>
          <w:szCs w:val="24"/>
        </w:rPr>
        <w:t>Transporta sektora aprēķinātās SEG emisijas 2030. gadam ir par 15,7% mazākas nekā 2021. gadā.</w:t>
      </w:r>
      <w:r w:rsidR="00857535">
        <w:rPr>
          <w:rFonts w:eastAsia="Cambria" w:cs="Times New Roman"/>
          <w:szCs w:val="24"/>
        </w:rPr>
        <w:t xml:space="preserve"> </w:t>
      </w:r>
      <w:r w:rsidRPr="00D346E7">
        <w:rPr>
          <w:rFonts w:eastAsia="Cambria" w:cs="Times New Roman"/>
          <w:szCs w:val="24"/>
        </w:rPr>
        <w:t>Transporta sektora SEG emisiju tendenci nosaka scenārijā ietvertie pasākumi, kas paredz elektrouzlādes staciju tīkla attīstības turpināšanu gan ar atbalsta programmām, gan privātām investīcijām, atbalsta pasākumus ETL iegādei pašvaldībām, publiskā transportā, kā arī privātām automašīnām. Ilgtermiņā ir sagaidāma arī pārslēgšanās no privātā transporta uz publisko transportu (dzelzceļš), ko sekmēs plānotās atbalsta programmas dzelzceļa attīstīšanai un elektrovilcienu plašāka izmantošana pasažieru pārvadāšanai, aizvietojot dīzeļlokomotīves. Tomēr vislielāko ietekmi uz SEG emisiju samazināšanu dod</w:t>
      </w:r>
      <w:r w:rsidR="00857535">
        <w:rPr>
          <w:rFonts w:eastAsia="Cambria" w:cs="Times New Roman"/>
          <w:szCs w:val="24"/>
        </w:rPr>
        <w:t xml:space="preserve"> </w:t>
      </w:r>
      <w:r w:rsidRPr="00D346E7">
        <w:rPr>
          <w:rFonts w:eastAsia="Cambria" w:cs="Times New Roman"/>
          <w:szCs w:val="24"/>
        </w:rPr>
        <w:t>pasākums par degvielas piegādātājiem autotransporta sektoram ikgadēju SEG emisiju intensitātes samazinājuma pienākumu uz 2030. gadu.</w:t>
      </w:r>
    </w:p>
    <w:p w14:paraId="34BEE303" w14:textId="77777777" w:rsidR="00C263F0" w:rsidRPr="00D346E7" w:rsidRDefault="00C263F0" w:rsidP="00D346E7">
      <w:pPr>
        <w:spacing w:before="120" w:after="120"/>
        <w:jc w:val="both"/>
        <w:rPr>
          <w:rFonts w:eastAsia="Cambria" w:cs="Times New Roman"/>
          <w:szCs w:val="24"/>
        </w:rPr>
      </w:pPr>
    </w:p>
    <w:p w14:paraId="1A17CA9A" w14:textId="7BF6EA80" w:rsidR="00D346E7" w:rsidRPr="00D346E7" w:rsidRDefault="000654E1" w:rsidP="00D346E7">
      <w:pPr>
        <w:spacing w:before="120" w:after="120"/>
        <w:jc w:val="center"/>
        <w:rPr>
          <w:rFonts w:eastAsia="Cambria" w:cs="Times New Roman"/>
          <w:szCs w:val="24"/>
        </w:rPr>
      </w:pPr>
      <w:r>
        <w:rPr>
          <w:rFonts w:cs="Times New Roman"/>
          <w:noProof/>
          <w:szCs w:val="24"/>
          <w:lang w:eastAsia="lv-LV"/>
        </w:rPr>
        <w:drawing>
          <wp:inline distT="0" distB="0" distL="0" distR="0" wp14:anchorId="756333EC" wp14:editId="1D91C31D">
            <wp:extent cx="4210050" cy="2476500"/>
            <wp:effectExtent l="0" t="0" r="0" b="0"/>
            <wp:docPr id="19"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different colored line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0050" cy="2476500"/>
                    </a:xfrm>
                    <a:prstGeom prst="rect">
                      <a:avLst/>
                    </a:prstGeom>
                    <a:noFill/>
                    <a:ln>
                      <a:noFill/>
                    </a:ln>
                  </pic:spPr>
                </pic:pic>
              </a:graphicData>
            </a:graphic>
          </wp:inline>
        </w:drawing>
      </w:r>
    </w:p>
    <w:p w14:paraId="1DC427A0" w14:textId="77777777" w:rsidR="00D346E7" w:rsidRPr="00D346E7" w:rsidRDefault="00C263F0" w:rsidP="00D346E7">
      <w:pPr>
        <w:pStyle w:val="Caption"/>
        <w:rPr>
          <w:rFonts w:eastAsia="Cambria"/>
          <w:sz w:val="24"/>
          <w:szCs w:val="24"/>
        </w:rPr>
      </w:pPr>
      <w:r>
        <w:rPr>
          <w:sz w:val="24"/>
          <w:szCs w:val="24"/>
        </w:rPr>
        <w:t>3.</w:t>
      </w:r>
      <w:r w:rsidR="00367DDE">
        <w:rPr>
          <w:sz w:val="24"/>
          <w:szCs w:val="24"/>
        </w:rPr>
        <w:t>18</w:t>
      </w:r>
      <w:r w:rsidR="00D346E7" w:rsidRPr="00D346E7">
        <w:rPr>
          <w:rFonts w:eastAsia="Cambria"/>
          <w:sz w:val="24"/>
          <w:szCs w:val="24"/>
        </w:rPr>
        <w:t>. attēls. Aprēķinātā SEG emisiju prognoze Enerģētikas sektoram NEKP pasākumu scenārijam</w:t>
      </w:r>
    </w:p>
    <w:p w14:paraId="0930E904" w14:textId="77777777" w:rsidR="00C263F0" w:rsidRDefault="00C263F0" w:rsidP="00D346E7">
      <w:pPr>
        <w:spacing w:before="120" w:after="120"/>
        <w:jc w:val="both"/>
        <w:rPr>
          <w:rFonts w:eastAsia="Cambria" w:cs="Times New Roman"/>
          <w:szCs w:val="24"/>
        </w:rPr>
      </w:pPr>
    </w:p>
    <w:p w14:paraId="3467E14C"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Pakalpojumu sektora un mājsaimniecību radītās SEG emisijas 2030. gadā ir attiecīgi par 14,2% un 20,8% mazākas kā 2021. gadā. SEG emisiju izmaiņu tendenci galvenokārt nosaka plānotās atbalsta programmas dzīvojamo un publisko ēku (valsts un pašvaldības) atjaunošanai, kā arī kurināmā aizvietošana ar elektroenerģiju mājsaimniecībās.</w:t>
      </w:r>
    </w:p>
    <w:p w14:paraId="103AE5D9" w14:textId="77777777" w:rsidR="00D346E7" w:rsidRPr="00D346E7" w:rsidRDefault="00D346E7" w:rsidP="00D346E7">
      <w:pPr>
        <w:spacing w:before="120" w:after="120"/>
        <w:jc w:val="both"/>
        <w:rPr>
          <w:rFonts w:eastAsia="Cambria" w:cs="Times New Roman"/>
          <w:b/>
          <w:szCs w:val="24"/>
        </w:rPr>
      </w:pPr>
      <w:r w:rsidRPr="00D346E7">
        <w:rPr>
          <w:rFonts w:eastAsia="Cambria" w:cs="Times New Roman"/>
          <w:b/>
          <w:szCs w:val="24"/>
        </w:rPr>
        <w:t>Alternatīvu mērķa scenāriju modelēšana</w:t>
      </w:r>
    </w:p>
    <w:p w14:paraId="3E906304" w14:textId="77777777" w:rsidR="00D346E7" w:rsidRDefault="00D346E7" w:rsidP="00D346E7">
      <w:pPr>
        <w:spacing w:before="120" w:after="120"/>
        <w:jc w:val="both"/>
        <w:rPr>
          <w:rFonts w:eastAsia="Cambria" w:cs="Times New Roman"/>
          <w:szCs w:val="24"/>
        </w:rPr>
      </w:pPr>
      <w:r w:rsidRPr="00D346E7">
        <w:rPr>
          <w:rFonts w:eastAsia="Cambria" w:cs="Times New Roman"/>
          <w:szCs w:val="24"/>
        </w:rPr>
        <w:t xml:space="preserve">Lai vērtētu dažādu politiku ietekmi uz energosistēmas rādītāju izmaiņām, tika izveidota alternatīvu scenāriju kopa, kuras īss raksturojums dots </w:t>
      </w:r>
      <w:r w:rsidR="00C263F0">
        <w:rPr>
          <w:rFonts w:eastAsia="Cambria" w:cs="Times New Roman"/>
          <w:szCs w:val="24"/>
        </w:rPr>
        <w:t>3.2. </w:t>
      </w:r>
      <w:r w:rsidRPr="00D346E7">
        <w:rPr>
          <w:rFonts w:eastAsia="Cambria" w:cs="Times New Roman"/>
          <w:szCs w:val="24"/>
        </w:rPr>
        <w:t>tabulā.</w:t>
      </w:r>
    </w:p>
    <w:p w14:paraId="4433583C" w14:textId="77777777" w:rsidR="00C263F0" w:rsidRPr="00D346E7" w:rsidRDefault="00C263F0" w:rsidP="00C263F0">
      <w:pPr>
        <w:spacing w:before="120" w:after="120"/>
        <w:jc w:val="both"/>
        <w:rPr>
          <w:rFonts w:eastAsia="Cambria" w:cs="Times New Roman"/>
          <w:szCs w:val="24"/>
        </w:rPr>
      </w:pPr>
      <w:r w:rsidRPr="00D346E7">
        <w:rPr>
          <w:rFonts w:eastAsia="Cambria" w:cs="Times New Roman"/>
          <w:szCs w:val="24"/>
        </w:rPr>
        <w:t xml:space="preserve">Alternatīvos scenārijus īsumā var raksturot </w:t>
      </w:r>
      <w:r w:rsidR="00367DDE">
        <w:rPr>
          <w:rFonts w:eastAsia="Cambria" w:cs="Times New Roman"/>
          <w:szCs w:val="24"/>
        </w:rPr>
        <w:t>(skat. 3.19</w:t>
      </w:r>
      <w:r>
        <w:rPr>
          <w:rFonts w:eastAsia="Cambria" w:cs="Times New Roman"/>
          <w:szCs w:val="24"/>
        </w:rPr>
        <w:t>. att.)</w:t>
      </w:r>
      <w:r w:rsidRPr="00D346E7">
        <w:rPr>
          <w:rFonts w:eastAsia="Cambria" w:cs="Times New Roman"/>
          <w:szCs w:val="24"/>
        </w:rPr>
        <w:t>šādi:</w:t>
      </w:r>
    </w:p>
    <w:p w14:paraId="00CCD017" w14:textId="77777777" w:rsidR="00C263F0" w:rsidRPr="00D346E7" w:rsidRDefault="00C263F0" w:rsidP="00C263F0">
      <w:pPr>
        <w:pStyle w:val="ListParagraph"/>
        <w:numPr>
          <w:ilvl w:val="0"/>
          <w:numId w:val="43"/>
        </w:numPr>
        <w:spacing w:before="120" w:after="120"/>
        <w:contextualSpacing/>
        <w:jc w:val="both"/>
        <w:rPr>
          <w:rFonts w:eastAsia="Cambria" w:cs="Times New Roman"/>
          <w:szCs w:val="24"/>
        </w:rPr>
      </w:pPr>
      <w:r w:rsidRPr="00D346E7">
        <w:rPr>
          <w:rFonts w:eastAsia="Cambria" w:cs="Times New Roman"/>
          <w:szCs w:val="24"/>
        </w:rPr>
        <w:t>AE_62% scenārijs paredz sasniegt 62% kopējo AER daļu 2030. gadā un 85% 2050.gadā enerģijas galapatēriņā;</w:t>
      </w:r>
    </w:p>
    <w:p w14:paraId="4C57B11C" w14:textId="77777777" w:rsidR="00C263F0" w:rsidRPr="00D346E7" w:rsidRDefault="00C263F0" w:rsidP="00C263F0">
      <w:pPr>
        <w:pStyle w:val="ListParagraph"/>
        <w:numPr>
          <w:ilvl w:val="0"/>
          <w:numId w:val="43"/>
        </w:numPr>
        <w:spacing w:before="120" w:after="120"/>
        <w:contextualSpacing/>
        <w:jc w:val="both"/>
        <w:rPr>
          <w:rFonts w:eastAsia="Cambria" w:cs="Times New Roman"/>
          <w:szCs w:val="24"/>
        </w:rPr>
      </w:pPr>
      <w:r w:rsidRPr="00D346E7">
        <w:rPr>
          <w:rFonts w:eastAsia="Cambria" w:cs="Times New Roman"/>
          <w:szCs w:val="24"/>
        </w:rPr>
        <w:lastRenderedPageBreak/>
        <w:t>AE_apakšmērķi scenārijs paredz 2030. gadā sasniegt ES Direktīvā par atjaunīgo energoresursu enerģijas izmantošanas veicināšanu (RED III) paredzēto obligāto un brīvprātīgo apakšmērķu sasniegšanu: RES-DH; RES-H; RES-I; RES-BLD, RES-T;</w:t>
      </w:r>
    </w:p>
    <w:p w14:paraId="5B326633" w14:textId="77777777" w:rsidR="00C263F0" w:rsidRDefault="00C263F0" w:rsidP="00C263F0">
      <w:pPr>
        <w:pStyle w:val="ListParagraph"/>
        <w:numPr>
          <w:ilvl w:val="0"/>
          <w:numId w:val="43"/>
        </w:numPr>
        <w:spacing w:before="120" w:after="120"/>
        <w:contextualSpacing/>
        <w:jc w:val="both"/>
        <w:rPr>
          <w:rFonts w:eastAsia="Cambria" w:cs="Times New Roman"/>
          <w:szCs w:val="24"/>
        </w:rPr>
      </w:pPr>
      <w:r w:rsidRPr="00D346E7">
        <w:rPr>
          <w:rFonts w:eastAsia="Cambria" w:cs="Times New Roman"/>
          <w:szCs w:val="24"/>
        </w:rPr>
        <w:t>ETS2 scenārijs paredz esošās ETS sistēmas paplašināšanu ar ēku un autotransporta sektoru un CO</w:t>
      </w:r>
      <w:r w:rsidRPr="00D346E7">
        <w:rPr>
          <w:rFonts w:eastAsia="Cambria" w:cs="Times New Roman"/>
          <w:szCs w:val="24"/>
          <w:vertAlign w:val="subscript"/>
        </w:rPr>
        <w:t xml:space="preserve">2 </w:t>
      </w:r>
      <w:r w:rsidRPr="00D346E7">
        <w:rPr>
          <w:rFonts w:eastAsia="Cambria" w:cs="Times New Roman"/>
          <w:szCs w:val="24"/>
        </w:rPr>
        <w:t>nodokļa piemērošanu.</w:t>
      </w:r>
    </w:p>
    <w:p w14:paraId="37878E77" w14:textId="351B0B9A" w:rsidR="00C263F0" w:rsidRPr="00D346E7" w:rsidRDefault="00C263F0" w:rsidP="00C263F0">
      <w:pPr>
        <w:numPr>
          <w:ilvl w:val="0"/>
          <w:numId w:val="43"/>
        </w:numPr>
        <w:spacing w:before="120" w:after="120"/>
        <w:jc w:val="both"/>
        <w:rPr>
          <w:rFonts w:eastAsia="Cambria" w:cs="Times New Roman"/>
          <w:szCs w:val="24"/>
        </w:rPr>
      </w:pPr>
      <w:r w:rsidRPr="00D346E7">
        <w:rPr>
          <w:rFonts w:eastAsia="Cambria" w:cs="Times New Roman"/>
          <w:szCs w:val="24"/>
        </w:rPr>
        <w:t>Direktīvā 2018/2001 noteikto obligāto un brīvprātīgo apakšmērķu izpildīšana sektoros kopsummā dod 55,8 % AER daļu enerģijas galapatēriņā 2030. gadā. Turpretim tikai apakšmērķa izpildīšana transporta sektorā (NEKP pasākumu</w:t>
      </w:r>
      <w:r w:rsidR="00857535">
        <w:rPr>
          <w:rFonts w:eastAsia="Cambria" w:cs="Times New Roman"/>
          <w:szCs w:val="24"/>
        </w:rPr>
        <w:t xml:space="preserve"> </w:t>
      </w:r>
      <w:r w:rsidRPr="00D346E7">
        <w:rPr>
          <w:rFonts w:eastAsia="Cambria" w:cs="Times New Roman"/>
          <w:szCs w:val="24"/>
        </w:rPr>
        <w:t xml:space="preserve">scenārijs) kopējo AER daļu palielināja līdz 49 % 2030.gadā. </w:t>
      </w:r>
    </w:p>
    <w:p w14:paraId="66714032" w14:textId="77777777" w:rsidR="00C263F0" w:rsidRPr="00D346E7" w:rsidRDefault="00C263F0" w:rsidP="00C263F0">
      <w:pPr>
        <w:numPr>
          <w:ilvl w:val="0"/>
          <w:numId w:val="43"/>
        </w:numPr>
        <w:spacing w:before="120" w:after="120"/>
        <w:jc w:val="both"/>
        <w:rPr>
          <w:rFonts w:eastAsia="Cambria" w:cs="Times New Roman"/>
          <w:szCs w:val="24"/>
        </w:rPr>
      </w:pPr>
      <w:r w:rsidRPr="00D346E7">
        <w:rPr>
          <w:rFonts w:eastAsia="Cambria" w:cs="Times New Roman"/>
          <w:szCs w:val="24"/>
        </w:rPr>
        <w:t>ETS2 sistēmas ieviešana atstāj minimālu ietekmi līdz 2030. gadam uz AER kopējās daļas izmaiņām enerģijas galapatēriņā. Tā palielinās līdz 46,9 % un ir par 0,6 % punktiem lielāka nekā Bāzes scenārijā. Kā redzams no rezultātiem, CO</w:t>
      </w:r>
      <w:r w:rsidRPr="00D346E7">
        <w:rPr>
          <w:rFonts w:eastAsia="Cambria" w:cs="Times New Roman"/>
          <w:szCs w:val="24"/>
          <w:vertAlign w:val="subscript"/>
        </w:rPr>
        <w:t>2</w:t>
      </w:r>
      <w:r w:rsidRPr="00D346E7">
        <w:rPr>
          <w:rFonts w:eastAsia="Cambria" w:cs="Times New Roman"/>
          <w:szCs w:val="24"/>
        </w:rPr>
        <w:t xml:space="preserve"> nodokļa straujā palielināšanās ETS2 scenārijā pēc 2030.gada, būtiski ietekmē arī AER kopējo īpatsvara daļu. </w:t>
      </w:r>
    </w:p>
    <w:p w14:paraId="21B8BD9F" w14:textId="28034C40" w:rsidR="00D346E7" w:rsidRPr="00D346E7" w:rsidRDefault="00C263F0" w:rsidP="00C263F0">
      <w:pPr>
        <w:pStyle w:val="Caption"/>
        <w:jc w:val="left"/>
        <w:rPr>
          <w:rFonts w:eastAsia="Cambria"/>
          <w:b w:val="0"/>
          <w:sz w:val="24"/>
          <w:szCs w:val="24"/>
        </w:rPr>
      </w:pPr>
      <w:r>
        <w:rPr>
          <w:rFonts w:eastAsia="Cambria"/>
          <w:sz w:val="24"/>
          <w:szCs w:val="24"/>
        </w:rPr>
        <w:t>3.</w:t>
      </w:r>
      <w:r w:rsidR="00D346E7" w:rsidRPr="00D346E7">
        <w:rPr>
          <w:rFonts w:eastAsia="Cambria"/>
          <w:sz w:val="24"/>
          <w:szCs w:val="24"/>
        </w:rPr>
        <w:t>2.tabula.</w:t>
      </w:r>
      <w:r w:rsidR="00857535">
        <w:rPr>
          <w:rFonts w:eastAsia="Cambria"/>
          <w:sz w:val="24"/>
          <w:szCs w:val="24"/>
        </w:rPr>
        <w:t xml:space="preserve"> </w:t>
      </w:r>
      <w:r w:rsidR="00D346E7" w:rsidRPr="00D346E7">
        <w:rPr>
          <w:rFonts w:eastAsia="Cambria"/>
          <w:sz w:val="24"/>
          <w:szCs w:val="24"/>
        </w:rPr>
        <w:t>Izveidotās un modelētās scenāriju kopas īss raksturojums</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7"/>
        <w:gridCol w:w="1134"/>
        <w:gridCol w:w="1559"/>
        <w:gridCol w:w="1560"/>
        <w:gridCol w:w="1134"/>
      </w:tblGrid>
      <w:tr w:rsidR="00D346E7" w:rsidRPr="00A065A3" w14:paraId="119094E1" w14:textId="77777777" w:rsidTr="00A065A3">
        <w:trPr>
          <w:trHeight w:val="300"/>
          <w:tblHeader/>
          <w:jc w:val="center"/>
        </w:trPr>
        <w:tc>
          <w:tcPr>
            <w:tcW w:w="3357" w:type="dxa"/>
            <w:tcBorders>
              <w:bottom w:val="nil"/>
              <w:right w:val="nil"/>
            </w:tcBorders>
            <w:shd w:val="clear" w:color="auto" w:fill="auto"/>
          </w:tcPr>
          <w:p w14:paraId="474F2F1D" w14:textId="77777777" w:rsidR="00D346E7" w:rsidRPr="00A065A3" w:rsidRDefault="00D346E7" w:rsidP="00A065A3">
            <w:pPr>
              <w:spacing w:before="120" w:after="120"/>
              <w:jc w:val="both"/>
              <w:rPr>
                <w:rFonts w:eastAsia="Cambria" w:cs="Times New Roman"/>
                <w:b/>
                <w:bCs/>
                <w:szCs w:val="24"/>
              </w:rPr>
            </w:pPr>
          </w:p>
        </w:tc>
        <w:tc>
          <w:tcPr>
            <w:tcW w:w="1134" w:type="dxa"/>
            <w:shd w:val="clear" w:color="auto" w:fill="auto"/>
          </w:tcPr>
          <w:p w14:paraId="43CF47C6" w14:textId="77777777" w:rsidR="00D346E7" w:rsidRPr="00A065A3" w:rsidRDefault="00D346E7" w:rsidP="00A065A3">
            <w:pPr>
              <w:spacing w:before="120" w:after="120"/>
              <w:jc w:val="center"/>
              <w:rPr>
                <w:rFonts w:eastAsia="Cambria" w:cs="Times New Roman"/>
                <w:b/>
                <w:bCs/>
                <w:szCs w:val="24"/>
              </w:rPr>
            </w:pPr>
            <w:r w:rsidRPr="00A065A3">
              <w:rPr>
                <w:rFonts w:eastAsia="Cambria" w:cs="Times New Roman"/>
                <w:b/>
                <w:bCs/>
                <w:szCs w:val="24"/>
              </w:rPr>
              <w:t>AE_62% scenārijs</w:t>
            </w:r>
          </w:p>
        </w:tc>
        <w:tc>
          <w:tcPr>
            <w:tcW w:w="1559" w:type="dxa"/>
            <w:shd w:val="clear" w:color="auto" w:fill="auto"/>
          </w:tcPr>
          <w:p w14:paraId="0201416A" w14:textId="77777777" w:rsidR="00D346E7" w:rsidRPr="00A065A3" w:rsidRDefault="00D346E7" w:rsidP="00D53993">
            <w:pPr>
              <w:spacing w:before="120" w:after="120"/>
              <w:jc w:val="center"/>
              <w:rPr>
                <w:rFonts w:eastAsia="Cambria" w:cs="Times New Roman"/>
                <w:b/>
                <w:bCs/>
                <w:szCs w:val="24"/>
              </w:rPr>
            </w:pPr>
            <w:r w:rsidRPr="00A065A3">
              <w:rPr>
                <w:rFonts w:eastAsia="Cambria" w:cs="Times New Roman"/>
                <w:b/>
                <w:bCs/>
                <w:szCs w:val="24"/>
              </w:rPr>
              <w:t>AE_apak</w:t>
            </w:r>
            <w:r w:rsidR="00D53993">
              <w:rPr>
                <w:rFonts w:eastAsia="Cambria" w:cs="Times New Roman"/>
                <w:b/>
                <w:bCs/>
                <w:szCs w:val="24"/>
              </w:rPr>
              <w:t>š-</w:t>
            </w:r>
            <w:r w:rsidRPr="00A065A3">
              <w:rPr>
                <w:rFonts w:eastAsia="Cambria" w:cs="Times New Roman"/>
                <w:b/>
                <w:bCs/>
                <w:szCs w:val="24"/>
              </w:rPr>
              <w:t>mērķ</w:t>
            </w:r>
            <w:r w:rsidR="00D53993">
              <w:rPr>
                <w:rFonts w:eastAsia="Cambria" w:cs="Times New Roman"/>
                <w:b/>
                <w:bCs/>
                <w:szCs w:val="24"/>
              </w:rPr>
              <w:t>a</w:t>
            </w:r>
            <w:r w:rsidRPr="00A065A3">
              <w:rPr>
                <w:rFonts w:eastAsia="Cambria" w:cs="Times New Roman"/>
                <w:b/>
                <w:bCs/>
                <w:szCs w:val="24"/>
              </w:rPr>
              <w:t xml:space="preserve"> scenārijs</w:t>
            </w:r>
          </w:p>
        </w:tc>
        <w:tc>
          <w:tcPr>
            <w:tcW w:w="1560" w:type="dxa"/>
            <w:shd w:val="clear" w:color="auto" w:fill="auto"/>
          </w:tcPr>
          <w:p w14:paraId="053721C1" w14:textId="5015720D" w:rsidR="00D346E7" w:rsidRPr="00A065A3" w:rsidRDefault="00D346E7" w:rsidP="00A065A3">
            <w:pPr>
              <w:spacing w:before="120" w:after="120"/>
              <w:jc w:val="center"/>
              <w:rPr>
                <w:rFonts w:eastAsia="Cambria" w:cs="Times New Roman"/>
                <w:b/>
                <w:bCs/>
                <w:szCs w:val="24"/>
              </w:rPr>
            </w:pPr>
            <w:r w:rsidRPr="00A065A3">
              <w:rPr>
                <w:rFonts w:eastAsia="Cambria" w:cs="Times New Roman"/>
                <w:b/>
                <w:bCs/>
                <w:szCs w:val="24"/>
              </w:rPr>
              <w:t>NEKP_ Mērķa</w:t>
            </w:r>
            <w:r w:rsidR="00857535">
              <w:rPr>
                <w:rFonts w:eastAsia="Cambria" w:cs="Times New Roman"/>
                <w:b/>
                <w:bCs/>
                <w:szCs w:val="24"/>
              </w:rPr>
              <w:t xml:space="preserve"> </w:t>
            </w:r>
            <w:r w:rsidRPr="00A065A3">
              <w:rPr>
                <w:rFonts w:eastAsia="Cambria" w:cs="Times New Roman"/>
                <w:b/>
                <w:bCs/>
                <w:szCs w:val="24"/>
              </w:rPr>
              <w:t>scenārijs</w:t>
            </w:r>
          </w:p>
        </w:tc>
        <w:tc>
          <w:tcPr>
            <w:tcW w:w="1134" w:type="dxa"/>
            <w:shd w:val="clear" w:color="auto" w:fill="auto"/>
          </w:tcPr>
          <w:p w14:paraId="2F169CF8" w14:textId="77777777" w:rsidR="00D346E7" w:rsidRPr="00A065A3" w:rsidRDefault="00D346E7" w:rsidP="00A065A3">
            <w:pPr>
              <w:spacing w:before="120" w:after="120"/>
              <w:jc w:val="center"/>
              <w:rPr>
                <w:rFonts w:eastAsia="Cambria" w:cs="Times New Roman"/>
                <w:b/>
                <w:bCs/>
                <w:szCs w:val="24"/>
              </w:rPr>
            </w:pPr>
            <w:r w:rsidRPr="00A065A3">
              <w:rPr>
                <w:rFonts w:eastAsia="Cambria" w:cs="Times New Roman"/>
                <w:b/>
                <w:bCs/>
                <w:szCs w:val="24"/>
              </w:rPr>
              <w:t>ETS2 scenārijs</w:t>
            </w:r>
          </w:p>
        </w:tc>
      </w:tr>
      <w:tr w:rsidR="00D346E7" w:rsidRPr="00A065A3" w14:paraId="5B6B1779"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72AC2835"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szCs w:val="24"/>
              </w:rPr>
              <w:t>RES kopējais mērķis</w:t>
            </w:r>
          </w:p>
        </w:tc>
        <w:tc>
          <w:tcPr>
            <w:tcW w:w="1134" w:type="dxa"/>
            <w:tcBorders>
              <w:top w:val="single" w:sz="4" w:space="0" w:color="FFC000"/>
              <w:bottom w:val="single" w:sz="4" w:space="0" w:color="FFC000"/>
            </w:tcBorders>
            <w:shd w:val="clear" w:color="auto" w:fill="auto"/>
          </w:tcPr>
          <w:p w14:paraId="518F5EBE"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59" w:type="dxa"/>
            <w:tcBorders>
              <w:top w:val="single" w:sz="4" w:space="0" w:color="FFC000"/>
              <w:bottom w:val="single" w:sz="4" w:space="0" w:color="FFC000"/>
            </w:tcBorders>
            <w:shd w:val="clear" w:color="auto" w:fill="auto"/>
          </w:tcPr>
          <w:p w14:paraId="04328D66" w14:textId="77777777" w:rsidR="00D346E7" w:rsidRPr="00A065A3" w:rsidRDefault="00D346E7" w:rsidP="00A065A3">
            <w:pPr>
              <w:spacing w:before="120" w:after="120"/>
              <w:jc w:val="center"/>
              <w:rPr>
                <w:rFonts w:eastAsia="Cambria" w:cs="Times New Roman"/>
                <w:szCs w:val="24"/>
              </w:rPr>
            </w:pPr>
          </w:p>
        </w:tc>
        <w:tc>
          <w:tcPr>
            <w:tcW w:w="1560" w:type="dxa"/>
            <w:tcBorders>
              <w:top w:val="single" w:sz="4" w:space="0" w:color="FFC000"/>
              <w:bottom w:val="single" w:sz="4" w:space="0" w:color="FFC000"/>
            </w:tcBorders>
            <w:shd w:val="clear" w:color="auto" w:fill="auto"/>
          </w:tcPr>
          <w:p w14:paraId="22672486" w14:textId="77777777" w:rsidR="00D346E7" w:rsidRPr="00A065A3" w:rsidRDefault="00D346E7" w:rsidP="00A065A3">
            <w:pPr>
              <w:spacing w:before="120" w:after="120"/>
              <w:jc w:val="center"/>
              <w:rPr>
                <w:rFonts w:eastAsia="Cambria" w:cs="Times New Roman"/>
                <w:szCs w:val="24"/>
              </w:rPr>
            </w:pPr>
          </w:p>
        </w:tc>
        <w:tc>
          <w:tcPr>
            <w:tcW w:w="1134" w:type="dxa"/>
            <w:tcBorders>
              <w:top w:val="single" w:sz="4" w:space="0" w:color="FFC000"/>
              <w:bottom w:val="single" w:sz="4" w:space="0" w:color="FFC000"/>
            </w:tcBorders>
            <w:shd w:val="clear" w:color="auto" w:fill="auto"/>
          </w:tcPr>
          <w:p w14:paraId="69F0F16F" w14:textId="77777777" w:rsidR="00D346E7" w:rsidRPr="00A065A3" w:rsidRDefault="00D346E7" w:rsidP="00A065A3">
            <w:pPr>
              <w:spacing w:before="120" w:after="120"/>
              <w:jc w:val="center"/>
              <w:rPr>
                <w:rFonts w:eastAsia="Cambria" w:cs="Times New Roman"/>
                <w:szCs w:val="24"/>
              </w:rPr>
            </w:pPr>
          </w:p>
        </w:tc>
      </w:tr>
      <w:tr w:rsidR="00D346E7" w:rsidRPr="00A065A3" w14:paraId="20066AED" w14:textId="77777777" w:rsidTr="00A065A3">
        <w:trPr>
          <w:trHeight w:val="300"/>
          <w:jc w:val="center"/>
        </w:trPr>
        <w:tc>
          <w:tcPr>
            <w:tcW w:w="3357" w:type="dxa"/>
            <w:tcBorders>
              <w:right w:val="nil"/>
            </w:tcBorders>
            <w:shd w:val="clear" w:color="auto" w:fill="auto"/>
          </w:tcPr>
          <w:p w14:paraId="3670693B"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RES-E </w:t>
            </w:r>
          </w:p>
        </w:tc>
        <w:tc>
          <w:tcPr>
            <w:tcW w:w="1134" w:type="dxa"/>
            <w:shd w:val="clear" w:color="auto" w:fill="auto"/>
          </w:tcPr>
          <w:p w14:paraId="1181C1F8"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39FB1026" w14:textId="77777777" w:rsidR="00D346E7" w:rsidRPr="00A065A3" w:rsidRDefault="00D346E7" w:rsidP="00A065A3">
            <w:pPr>
              <w:spacing w:before="120" w:after="120"/>
              <w:jc w:val="center"/>
              <w:rPr>
                <w:rFonts w:eastAsia="Cambria" w:cs="Times New Roman"/>
                <w:szCs w:val="24"/>
              </w:rPr>
            </w:pPr>
          </w:p>
        </w:tc>
        <w:tc>
          <w:tcPr>
            <w:tcW w:w="1560" w:type="dxa"/>
            <w:shd w:val="clear" w:color="auto" w:fill="auto"/>
          </w:tcPr>
          <w:p w14:paraId="6FA75F76" w14:textId="77777777" w:rsidR="00D346E7" w:rsidRPr="00A065A3" w:rsidRDefault="00D346E7" w:rsidP="00A065A3">
            <w:pPr>
              <w:spacing w:before="120" w:after="120"/>
              <w:jc w:val="center"/>
              <w:rPr>
                <w:rFonts w:eastAsia="Cambria" w:cs="Times New Roman"/>
                <w:szCs w:val="24"/>
              </w:rPr>
            </w:pPr>
          </w:p>
        </w:tc>
        <w:tc>
          <w:tcPr>
            <w:tcW w:w="1134" w:type="dxa"/>
            <w:shd w:val="clear" w:color="auto" w:fill="auto"/>
          </w:tcPr>
          <w:p w14:paraId="03063406" w14:textId="77777777" w:rsidR="00D346E7" w:rsidRPr="00A065A3" w:rsidRDefault="00D346E7" w:rsidP="00A065A3">
            <w:pPr>
              <w:spacing w:before="120" w:after="120"/>
              <w:jc w:val="center"/>
              <w:rPr>
                <w:rFonts w:eastAsia="Cambria" w:cs="Times New Roman"/>
                <w:szCs w:val="24"/>
              </w:rPr>
            </w:pPr>
          </w:p>
        </w:tc>
      </w:tr>
      <w:tr w:rsidR="00D346E7" w:rsidRPr="00A065A3" w14:paraId="7B746D64"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3140C80A"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RES-DH </w:t>
            </w:r>
          </w:p>
        </w:tc>
        <w:tc>
          <w:tcPr>
            <w:tcW w:w="1134" w:type="dxa"/>
            <w:tcBorders>
              <w:top w:val="single" w:sz="4" w:space="0" w:color="FFC000"/>
              <w:bottom w:val="single" w:sz="4" w:space="0" w:color="FFC000"/>
            </w:tcBorders>
            <w:shd w:val="clear" w:color="auto" w:fill="auto"/>
          </w:tcPr>
          <w:p w14:paraId="1D46EC1F" w14:textId="77777777" w:rsidR="00D346E7" w:rsidRPr="00A065A3" w:rsidRDefault="00D346E7" w:rsidP="00A065A3">
            <w:pPr>
              <w:spacing w:before="120" w:after="120"/>
              <w:jc w:val="center"/>
              <w:rPr>
                <w:rFonts w:eastAsia="Cambria" w:cs="Times New Roman"/>
                <w:szCs w:val="24"/>
              </w:rPr>
            </w:pPr>
          </w:p>
        </w:tc>
        <w:tc>
          <w:tcPr>
            <w:tcW w:w="1559" w:type="dxa"/>
            <w:tcBorders>
              <w:top w:val="single" w:sz="4" w:space="0" w:color="FFC000"/>
              <w:bottom w:val="single" w:sz="4" w:space="0" w:color="FFC000"/>
            </w:tcBorders>
            <w:shd w:val="clear" w:color="auto" w:fill="auto"/>
          </w:tcPr>
          <w:p w14:paraId="44DD157D"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708E2709" w14:textId="77777777" w:rsidR="00D346E7" w:rsidRPr="00A065A3" w:rsidRDefault="00D346E7" w:rsidP="00A065A3">
            <w:pPr>
              <w:spacing w:before="120" w:after="120"/>
              <w:jc w:val="center"/>
              <w:rPr>
                <w:rFonts w:eastAsia="Cambria" w:cs="Times New Roman"/>
                <w:szCs w:val="24"/>
              </w:rPr>
            </w:pPr>
          </w:p>
        </w:tc>
        <w:tc>
          <w:tcPr>
            <w:tcW w:w="1134" w:type="dxa"/>
            <w:tcBorders>
              <w:top w:val="single" w:sz="4" w:space="0" w:color="FFC000"/>
              <w:bottom w:val="single" w:sz="4" w:space="0" w:color="FFC000"/>
            </w:tcBorders>
            <w:shd w:val="clear" w:color="auto" w:fill="auto"/>
          </w:tcPr>
          <w:p w14:paraId="187C812E" w14:textId="77777777" w:rsidR="00D346E7" w:rsidRPr="00A065A3" w:rsidRDefault="00D346E7" w:rsidP="00A065A3">
            <w:pPr>
              <w:spacing w:before="120" w:after="120"/>
              <w:jc w:val="center"/>
              <w:rPr>
                <w:rFonts w:eastAsia="Cambria" w:cs="Times New Roman"/>
                <w:szCs w:val="24"/>
              </w:rPr>
            </w:pPr>
          </w:p>
        </w:tc>
      </w:tr>
      <w:tr w:rsidR="00D346E7" w:rsidRPr="00A065A3" w14:paraId="082D189C" w14:textId="77777777" w:rsidTr="00A065A3">
        <w:trPr>
          <w:trHeight w:val="300"/>
          <w:jc w:val="center"/>
        </w:trPr>
        <w:tc>
          <w:tcPr>
            <w:tcW w:w="3357" w:type="dxa"/>
            <w:tcBorders>
              <w:right w:val="nil"/>
            </w:tcBorders>
            <w:shd w:val="clear" w:color="auto" w:fill="auto"/>
          </w:tcPr>
          <w:p w14:paraId="3C95918F"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RES-H </w:t>
            </w:r>
          </w:p>
        </w:tc>
        <w:tc>
          <w:tcPr>
            <w:tcW w:w="1134" w:type="dxa"/>
            <w:shd w:val="clear" w:color="auto" w:fill="auto"/>
          </w:tcPr>
          <w:p w14:paraId="50FDFB15"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3A963031"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shd w:val="clear" w:color="auto" w:fill="auto"/>
          </w:tcPr>
          <w:p w14:paraId="2EC3A04B" w14:textId="77777777" w:rsidR="00D346E7" w:rsidRPr="00A065A3" w:rsidRDefault="00D346E7" w:rsidP="00A065A3">
            <w:pPr>
              <w:spacing w:before="120" w:after="120"/>
              <w:jc w:val="center"/>
              <w:rPr>
                <w:rFonts w:eastAsia="Cambria" w:cs="Times New Roman"/>
                <w:szCs w:val="24"/>
              </w:rPr>
            </w:pPr>
          </w:p>
        </w:tc>
        <w:tc>
          <w:tcPr>
            <w:tcW w:w="1134" w:type="dxa"/>
            <w:shd w:val="clear" w:color="auto" w:fill="auto"/>
          </w:tcPr>
          <w:p w14:paraId="21E92494" w14:textId="77777777" w:rsidR="00D346E7" w:rsidRPr="00A065A3" w:rsidRDefault="00D346E7" w:rsidP="00A065A3">
            <w:pPr>
              <w:spacing w:before="120" w:after="120"/>
              <w:jc w:val="center"/>
              <w:rPr>
                <w:rFonts w:eastAsia="Cambria" w:cs="Times New Roman"/>
                <w:szCs w:val="24"/>
              </w:rPr>
            </w:pPr>
          </w:p>
        </w:tc>
      </w:tr>
      <w:tr w:rsidR="00D346E7" w:rsidRPr="00A065A3" w14:paraId="3EF1A434"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4515E027"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RES-T </w:t>
            </w:r>
          </w:p>
        </w:tc>
        <w:tc>
          <w:tcPr>
            <w:tcW w:w="1134" w:type="dxa"/>
            <w:tcBorders>
              <w:top w:val="single" w:sz="4" w:space="0" w:color="FFC000"/>
              <w:bottom w:val="single" w:sz="4" w:space="0" w:color="FFC000"/>
            </w:tcBorders>
            <w:shd w:val="clear" w:color="auto" w:fill="auto"/>
          </w:tcPr>
          <w:p w14:paraId="73451CF2" w14:textId="77777777" w:rsidR="00D346E7" w:rsidRPr="00A065A3" w:rsidRDefault="00D346E7" w:rsidP="00A065A3">
            <w:pPr>
              <w:spacing w:before="120" w:after="120"/>
              <w:jc w:val="center"/>
              <w:rPr>
                <w:rFonts w:eastAsia="Cambria" w:cs="Times New Roman"/>
                <w:szCs w:val="24"/>
              </w:rPr>
            </w:pPr>
          </w:p>
        </w:tc>
        <w:tc>
          <w:tcPr>
            <w:tcW w:w="1559" w:type="dxa"/>
            <w:tcBorders>
              <w:top w:val="single" w:sz="4" w:space="0" w:color="FFC000"/>
              <w:bottom w:val="single" w:sz="4" w:space="0" w:color="FFC000"/>
            </w:tcBorders>
            <w:shd w:val="clear" w:color="auto" w:fill="auto"/>
          </w:tcPr>
          <w:p w14:paraId="3D745584"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33018E7B"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134" w:type="dxa"/>
            <w:tcBorders>
              <w:top w:val="single" w:sz="4" w:space="0" w:color="FFC000"/>
              <w:bottom w:val="single" w:sz="4" w:space="0" w:color="FFC000"/>
            </w:tcBorders>
            <w:shd w:val="clear" w:color="auto" w:fill="auto"/>
          </w:tcPr>
          <w:p w14:paraId="5DC3E33E" w14:textId="77777777" w:rsidR="00D346E7" w:rsidRPr="00A065A3" w:rsidRDefault="00D346E7" w:rsidP="00A065A3">
            <w:pPr>
              <w:spacing w:before="120" w:after="120"/>
              <w:jc w:val="center"/>
              <w:rPr>
                <w:rFonts w:eastAsia="Cambria" w:cs="Times New Roman"/>
                <w:szCs w:val="24"/>
              </w:rPr>
            </w:pPr>
          </w:p>
        </w:tc>
      </w:tr>
      <w:tr w:rsidR="00D346E7" w:rsidRPr="00A065A3" w14:paraId="2E88568E" w14:textId="77777777" w:rsidTr="00A065A3">
        <w:trPr>
          <w:trHeight w:val="300"/>
          <w:jc w:val="center"/>
        </w:trPr>
        <w:tc>
          <w:tcPr>
            <w:tcW w:w="3357" w:type="dxa"/>
            <w:tcBorders>
              <w:right w:val="nil"/>
            </w:tcBorders>
            <w:shd w:val="clear" w:color="auto" w:fill="auto"/>
          </w:tcPr>
          <w:p w14:paraId="57354132"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RES-BLD </w:t>
            </w:r>
          </w:p>
        </w:tc>
        <w:tc>
          <w:tcPr>
            <w:tcW w:w="1134" w:type="dxa"/>
            <w:shd w:val="clear" w:color="auto" w:fill="auto"/>
          </w:tcPr>
          <w:p w14:paraId="311300FE"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4119E458"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shd w:val="clear" w:color="auto" w:fill="auto"/>
          </w:tcPr>
          <w:p w14:paraId="1959D62B" w14:textId="77777777" w:rsidR="00D346E7" w:rsidRPr="00A065A3" w:rsidRDefault="00D346E7" w:rsidP="00A065A3">
            <w:pPr>
              <w:spacing w:before="120" w:after="120"/>
              <w:jc w:val="center"/>
              <w:rPr>
                <w:rFonts w:eastAsia="Cambria" w:cs="Times New Roman"/>
                <w:szCs w:val="24"/>
              </w:rPr>
            </w:pPr>
          </w:p>
        </w:tc>
        <w:tc>
          <w:tcPr>
            <w:tcW w:w="1134" w:type="dxa"/>
            <w:shd w:val="clear" w:color="auto" w:fill="auto"/>
          </w:tcPr>
          <w:p w14:paraId="2679ED10" w14:textId="77777777" w:rsidR="00D346E7" w:rsidRPr="00A065A3" w:rsidRDefault="00D346E7" w:rsidP="00A065A3">
            <w:pPr>
              <w:spacing w:before="120" w:after="120"/>
              <w:jc w:val="center"/>
              <w:rPr>
                <w:rFonts w:eastAsia="Cambria" w:cs="Times New Roman"/>
                <w:szCs w:val="24"/>
              </w:rPr>
            </w:pPr>
          </w:p>
        </w:tc>
      </w:tr>
      <w:tr w:rsidR="00D346E7" w:rsidRPr="00A065A3" w14:paraId="2BA95C3B"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3F6D53F6"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RES-I </w:t>
            </w:r>
          </w:p>
        </w:tc>
        <w:tc>
          <w:tcPr>
            <w:tcW w:w="1134" w:type="dxa"/>
            <w:tcBorders>
              <w:top w:val="single" w:sz="4" w:space="0" w:color="FFC000"/>
              <w:bottom w:val="single" w:sz="4" w:space="0" w:color="FFC000"/>
            </w:tcBorders>
            <w:shd w:val="clear" w:color="auto" w:fill="auto"/>
          </w:tcPr>
          <w:p w14:paraId="603ADE0E" w14:textId="77777777" w:rsidR="00D346E7" w:rsidRPr="00A065A3" w:rsidRDefault="00D346E7" w:rsidP="00A065A3">
            <w:pPr>
              <w:spacing w:before="120" w:after="120"/>
              <w:jc w:val="center"/>
              <w:rPr>
                <w:rFonts w:eastAsia="Cambria" w:cs="Times New Roman"/>
                <w:szCs w:val="24"/>
              </w:rPr>
            </w:pPr>
          </w:p>
        </w:tc>
        <w:tc>
          <w:tcPr>
            <w:tcW w:w="1559" w:type="dxa"/>
            <w:tcBorders>
              <w:top w:val="single" w:sz="4" w:space="0" w:color="FFC000"/>
              <w:bottom w:val="single" w:sz="4" w:space="0" w:color="FFC000"/>
            </w:tcBorders>
            <w:shd w:val="clear" w:color="auto" w:fill="auto"/>
          </w:tcPr>
          <w:p w14:paraId="4D65A92F"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501851B5" w14:textId="77777777" w:rsidR="00D346E7" w:rsidRPr="00A065A3" w:rsidRDefault="00D346E7" w:rsidP="00A065A3">
            <w:pPr>
              <w:spacing w:before="120" w:after="120"/>
              <w:jc w:val="center"/>
              <w:rPr>
                <w:rFonts w:eastAsia="Cambria" w:cs="Times New Roman"/>
                <w:szCs w:val="24"/>
              </w:rPr>
            </w:pPr>
          </w:p>
        </w:tc>
        <w:tc>
          <w:tcPr>
            <w:tcW w:w="1134" w:type="dxa"/>
            <w:tcBorders>
              <w:top w:val="single" w:sz="4" w:space="0" w:color="FFC000"/>
              <w:bottom w:val="single" w:sz="4" w:space="0" w:color="FFC000"/>
            </w:tcBorders>
            <w:shd w:val="clear" w:color="auto" w:fill="auto"/>
          </w:tcPr>
          <w:p w14:paraId="50035A3B" w14:textId="77777777" w:rsidR="00D346E7" w:rsidRPr="00A065A3" w:rsidRDefault="00D346E7" w:rsidP="00A065A3">
            <w:pPr>
              <w:spacing w:before="120" w:after="120"/>
              <w:jc w:val="center"/>
              <w:rPr>
                <w:rFonts w:eastAsia="Cambria" w:cs="Times New Roman"/>
                <w:szCs w:val="24"/>
              </w:rPr>
            </w:pPr>
          </w:p>
        </w:tc>
      </w:tr>
      <w:tr w:rsidR="00D346E7" w:rsidRPr="00A065A3" w14:paraId="39C60B90" w14:textId="77777777" w:rsidTr="00A065A3">
        <w:trPr>
          <w:trHeight w:val="300"/>
          <w:jc w:val="center"/>
        </w:trPr>
        <w:tc>
          <w:tcPr>
            <w:tcW w:w="3357" w:type="dxa"/>
            <w:tcBorders>
              <w:right w:val="nil"/>
            </w:tcBorders>
            <w:shd w:val="clear" w:color="auto" w:fill="auto"/>
          </w:tcPr>
          <w:p w14:paraId="1B441243"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CO</w:t>
            </w:r>
            <w:r w:rsidRPr="00A065A3">
              <w:rPr>
                <w:rFonts w:eastAsia="Cambria" w:cs="Times New Roman"/>
                <w:bCs/>
                <w:szCs w:val="24"/>
                <w:vertAlign w:val="subscript"/>
              </w:rPr>
              <w:t xml:space="preserve">2 </w:t>
            </w:r>
            <w:r w:rsidRPr="00A065A3">
              <w:rPr>
                <w:rFonts w:eastAsia="Cambria" w:cs="Times New Roman"/>
                <w:bCs/>
                <w:szCs w:val="24"/>
              </w:rPr>
              <w:t xml:space="preserve">nodoklis kurināmam un degvielai piegādei ēkām un autotransportam </w:t>
            </w:r>
          </w:p>
        </w:tc>
        <w:tc>
          <w:tcPr>
            <w:tcW w:w="1134" w:type="dxa"/>
            <w:shd w:val="clear" w:color="auto" w:fill="auto"/>
          </w:tcPr>
          <w:p w14:paraId="1D7D4B1D"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6AB768E8" w14:textId="77777777" w:rsidR="00D346E7" w:rsidRPr="00A065A3" w:rsidRDefault="00D346E7" w:rsidP="00A065A3">
            <w:pPr>
              <w:spacing w:before="120" w:after="120"/>
              <w:jc w:val="center"/>
              <w:rPr>
                <w:rFonts w:eastAsia="Cambria" w:cs="Times New Roman"/>
                <w:szCs w:val="24"/>
              </w:rPr>
            </w:pPr>
          </w:p>
        </w:tc>
        <w:tc>
          <w:tcPr>
            <w:tcW w:w="1560" w:type="dxa"/>
            <w:shd w:val="clear" w:color="auto" w:fill="auto"/>
          </w:tcPr>
          <w:p w14:paraId="1940702A"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134" w:type="dxa"/>
            <w:shd w:val="clear" w:color="auto" w:fill="auto"/>
          </w:tcPr>
          <w:p w14:paraId="581BB39A"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r>
      <w:tr w:rsidR="00D346E7" w:rsidRPr="00A065A3" w14:paraId="2B68BF09"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7DB66D5F"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Papildus pasākumi energoefektivitātes paaugstināšanai</w:t>
            </w:r>
          </w:p>
        </w:tc>
        <w:tc>
          <w:tcPr>
            <w:tcW w:w="1134" w:type="dxa"/>
            <w:tcBorders>
              <w:top w:val="single" w:sz="4" w:space="0" w:color="FFC000"/>
              <w:bottom w:val="single" w:sz="4" w:space="0" w:color="FFC000"/>
            </w:tcBorders>
            <w:shd w:val="clear" w:color="auto" w:fill="auto"/>
          </w:tcPr>
          <w:p w14:paraId="5A8EE273"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59" w:type="dxa"/>
            <w:tcBorders>
              <w:top w:val="single" w:sz="4" w:space="0" w:color="FFC000"/>
              <w:bottom w:val="single" w:sz="4" w:space="0" w:color="FFC000"/>
            </w:tcBorders>
            <w:shd w:val="clear" w:color="auto" w:fill="auto"/>
          </w:tcPr>
          <w:p w14:paraId="3692493E"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2510A5D8"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134" w:type="dxa"/>
            <w:tcBorders>
              <w:top w:val="single" w:sz="4" w:space="0" w:color="FFC000"/>
              <w:bottom w:val="single" w:sz="4" w:space="0" w:color="FFC000"/>
            </w:tcBorders>
            <w:shd w:val="clear" w:color="auto" w:fill="auto"/>
          </w:tcPr>
          <w:p w14:paraId="0AB70C8A"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r>
    </w:tbl>
    <w:p w14:paraId="6C7578E2" w14:textId="77777777" w:rsidR="00C263F0" w:rsidRDefault="00C263F0" w:rsidP="00C263F0">
      <w:pPr>
        <w:pStyle w:val="ListParagraph"/>
        <w:spacing w:before="120" w:after="120"/>
        <w:contextualSpacing/>
        <w:jc w:val="both"/>
        <w:rPr>
          <w:rFonts w:eastAsia="Cambria" w:cs="Times New Roman"/>
          <w:szCs w:val="24"/>
        </w:rPr>
      </w:pPr>
    </w:p>
    <w:p w14:paraId="24C76842" w14:textId="77777777" w:rsidR="00887037" w:rsidRPr="00D346E7" w:rsidRDefault="00887037" w:rsidP="00887037">
      <w:pPr>
        <w:spacing w:before="120" w:after="120"/>
        <w:jc w:val="both"/>
        <w:rPr>
          <w:rFonts w:eastAsia="Cambria" w:cs="Times New Roman"/>
          <w:szCs w:val="24"/>
        </w:rPr>
      </w:pPr>
      <w:r w:rsidRPr="00D346E7">
        <w:rPr>
          <w:rFonts w:eastAsia="Cambria" w:cs="Times New Roman"/>
          <w:szCs w:val="24"/>
        </w:rPr>
        <w:t>AER daļa transportā ir augstāka AE_62% scenārijā nekā AE_apakšmērķu scenārijā. Tas nozīmē, ka kopējās AER mērķa palielināšana uz 2030. gadu līdz 62 % prasa palielināt apakšmērķi transporta sektorā par 3,3 % punktiem, salīdzinot ar Direktīvā noteikto apakšmērķi. ETS2 scenārijā CO</w:t>
      </w:r>
      <w:r w:rsidRPr="00D346E7">
        <w:rPr>
          <w:rFonts w:eastAsia="Cambria" w:cs="Times New Roman"/>
          <w:szCs w:val="24"/>
          <w:vertAlign w:val="subscript"/>
        </w:rPr>
        <w:t>2</w:t>
      </w:r>
      <w:r w:rsidRPr="00D346E7">
        <w:rPr>
          <w:rFonts w:eastAsia="Cambria" w:cs="Times New Roman"/>
          <w:szCs w:val="24"/>
        </w:rPr>
        <w:t xml:space="preserve"> piemērotais nodoklis autotransporta degvielām atstāj ietekmi uz AER izmantošanu transporta sektorā. AER daļas transportā īpatsvars </w:t>
      </w:r>
      <w:r>
        <w:rPr>
          <w:rFonts w:eastAsia="Cambria" w:cs="Times New Roman"/>
          <w:szCs w:val="24"/>
        </w:rPr>
        <w:t xml:space="preserve">(skat. 3.20. att.) </w:t>
      </w:r>
      <w:r w:rsidRPr="00D346E7">
        <w:rPr>
          <w:rFonts w:eastAsia="Cambria" w:cs="Times New Roman"/>
          <w:szCs w:val="24"/>
        </w:rPr>
        <w:t xml:space="preserve">2030.gadā ir par 5,4% punktiem lielāks nekā Bāzes scenārijā, kurā netiek šāds nodoklis piemērots. </w:t>
      </w:r>
    </w:p>
    <w:p w14:paraId="71AB7447" w14:textId="77777777" w:rsidR="00C263F0" w:rsidRPr="00D346E7" w:rsidRDefault="00C263F0" w:rsidP="00C263F0">
      <w:pPr>
        <w:pStyle w:val="ListParagraph"/>
        <w:spacing w:before="120" w:after="120"/>
        <w:contextualSpacing/>
        <w:jc w:val="both"/>
        <w:rPr>
          <w:rFonts w:eastAsia="Cambria" w:cs="Times New Roman"/>
          <w:szCs w:val="24"/>
        </w:rPr>
      </w:pPr>
    </w:p>
    <w:p w14:paraId="5998C380" w14:textId="22E2D67A"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79CBCC95" wp14:editId="5D410828">
            <wp:extent cx="3886200" cy="2333625"/>
            <wp:effectExtent l="0" t="0" r="0" b="9525"/>
            <wp:docPr id="20" name="Picture 1691496972" descr="A graph showing the number of compan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496972" descr="A graph showing the number of companies&#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6200" cy="2333625"/>
                    </a:xfrm>
                    <a:prstGeom prst="rect">
                      <a:avLst/>
                    </a:prstGeom>
                    <a:noFill/>
                    <a:ln>
                      <a:noFill/>
                    </a:ln>
                  </pic:spPr>
                </pic:pic>
              </a:graphicData>
            </a:graphic>
          </wp:inline>
        </w:drawing>
      </w:r>
    </w:p>
    <w:p w14:paraId="5490DB24" w14:textId="77777777" w:rsidR="00D346E7" w:rsidRPr="00D346E7" w:rsidRDefault="00C263F0" w:rsidP="00D346E7">
      <w:pPr>
        <w:pStyle w:val="Caption"/>
        <w:rPr>
          <w:rFonts w:eastAsia="Cambria"/>
          <w:iCs w:val="0"/>
          <w:sz w:val="24"/>
          <w:szCs w:val="24"/>
        </w:rPr>
      </w:pPr>
      <w:r>
        <w:rPr>
          <w:sz w:val="24"/>
          <w:szCs w:val="24"/>
        </w:rPr>
        <w:t>3.</w:t>
      </w:r>
      <w:r w:rsidR="00D346E7" w:rsidRPr="00D346E7">
        <w:rPr>
          <w:sz w:val="24"/>
          <w:szCs w:val="24"/>
        </w:rPr>
        <w:t>1</w:t>
      </w:r>
      <w:r w:rsidR="00367DDE">
        <w:rPr>
          <w:sz w:val="24"/>
          <w:szCs w:val="24"/>
        </w:rPr>
        <w:t>9</w:t>
      </w:r>
      <w:r w:rsidR="00D346E7" w:rsidRPr="00D346E7">
        <w:rPr>
          <w:sz w:val="24"/>
          <w:szCs w:val="24"/>
        </w:rPr>
        <w:t xml:space="preserve">. </w:t>
      </w:r>
      <w:r w:rsidR="00D346E7" w:rsidRPr="00D346E7">
        <w:rPr>
          <w:rFonts w:eastAsia="Cambria"/>
          <w:iCs w:val="0"/>
          <w:sz w:val="24"/>
          <w:szCs w:val="24"/>
        </w:rPr>
        <w:t>attēls. Aprēķinātā AER daļa enerģijas galapatēriņā modelētos scenārijos</w:t>
      </w:r>
    </w:p>
    <w:p w14:paraId="5433E585" w14:textId="77777777" w:rsidR="00C263F0" w:rsidRDefault="00C263F0" w:rsidP="00D346E7">
      <w:pPr>
        <w:spacing w:before="120" w:after="120"/>
        <w:jc w:val="both"/>
        <w:rPr>
          <w:rFonts w:eastAsia="Cambria" w:cs="Times New Roman"/>
          <w:szCs w:val="24"/>
        </w:rPr>
      </w:pPr>
    </w:p>
    <w:p w14:paraId="1B8104F2" w14:textId="224FA083"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1A74670B" wp14:editId="145880BD">
            <wp:extent cx="3933825" cy="2371725"/>
            <wp:effectExtent l="0" t="0" r="9525" b="9525"/>
            <wp:docPr id="21" name="Picture 199848169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481694" descr="A graph of different colored line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33825" cy="2371725"/>
                    </a:xfrm>
                    <a:prstGeom prst="rect">
                      <a:avLst/>
                    </a:prstGeom>
                    <a:noFill/>
                    <a:ln>
                      <a:noFill/>
                    </a:ln>
                  </pic:spPr>
                </pic:pic>
              </a:graphicData>
            </a:graphic>
          </wp:inline>
        </w:drawing>
      </w:r>
    </w:p>
    <w:p w14:paraId="3FA78910" w14:textId="77777777" w:rsidR="00D346E7" w:rsidRPr="00D346E7" w:rsidRDefault="00C263F0" w:rsidP="00D346E7">
      <w:pPr>
        <w:pStyle w:val="Caption"/>
        <w:rPr>
          <w:rFonts w:eastAsia="Cambria"/>
          <w:iCs w:val="0"/>
          <w:sz w:val="24"/>
          <w:szCs w:val="24"/>
        </w:rPr>
      </w:pPr>
      <w:r>
        <w:rPr>
          <w:sz w:val="24"/>
          <w:szCs w:val="24"/>
        </w:rPr>
        <w:t>3.</w:t>
      </w:r>
      <w:r w:rsidR="00367DDE">
        <w:rPr>
          <w:sz w:val="24"/>
          <w:szCs w:val="24"/>
        </w:rPr>
        <w:t>20</w:t>
      </w:r>
      <w:r w:rsidR="00D346E7" w:rsidRPr="00D346E7">
        <w:rPr>
          <w:sz w:val="24"/>
          <w:szCs w:val="24"/>
        </w:rPr>
        <w:t>. attēls.</w:t>
      </w:r>
      <w:r w:rsidR="00D346E7" w:rsidRPr="00D346E7">
        <w:rPr>
          <w:rFonts w:eastAsia="Cambria"/>
          <w:iCs w:val="0"/>
          <w:sz w:val="24"/>
          <w:szCs w:val="24"/>
        </w:rPr>
        <w:t xml:space="preserve"> Aprēķinātā AER daļa transporta sektorā</w:t>
      </w:r>
    </w:p>
    <w:p w14:paraId="1941F9CA" w14:textId="77777777" w:rsidR="00C263F0" w:rsidRDefault="00C263F0" w:rsidP="00D346E7">
      <w:pPr>
        <w:spacing w:before="120" w:after="120"/>
        <w:jc w:val="both"/>
        <w:rPr>
          <w:rFonts w:eastAsia="Cambria" w:cs="Times New Roman"/>
          <w:szCs w:val="24"/>
        </w:rPr>
      </w:pPr>
    </w:p>
    <w:p w14:paraId="13187F18" w14:textId="77777777" w:rsidR="00D346E7" w:rsidRDefault="00D346E7" w:rsidP="00D346E7">
      <w:pPr>
        <w:spacing w:before="120" w:after="120"/>
        <w:jc w:val="both"/>
        <w:rPr>
          <w:rFonts w:eastAsia="Cambria" w:cs="Times New Roman"/>
          <w:szCs w:val="24"/>
        </w:rPr>
      </w:pPr>
      <w:r w:rsidRPr="00D346E7">
        <w:rPr>
          <w:rFonts w:eastAsia="Cambria" w:cs="Times New Roman"/>
          <w:szCs w:val="24"/>
        </w:rPr>
        <w:t>AER daļa ēkās (RES-BLD), kas nav obligātais mērķis</w:t>
      </w:r>
      <w:r w:rsidR="00C263F0">
        <w:rPr>
          <w:rFonts w:eastAsia="Cambria" w:cs="Times New Roman"/>
          <w:szCs w:val="24"/>
        </w:rPr>
        <w:t>,</w:t>
      </w:r>
      <w:r w:rsidRPr="00D346E7">
        <w:rPr>
          <w:rFonts w:eastAsia="Cambria" w:cs="Times New Roman"/>
          <w:szCs w:val="24"/>
        </w:rPr>
        <w:t xml:space="preserve"> ir visaugstākā AE_apakšmērķu scenārijā</w:t>
      </w:r>
      <w:r w:rsidR="00C263F0">
        <w:rPr>
          <w:rFonts w:eastAsia="Cambria" w:cs="Times New Roman"/>
          <w:szCs w:val="24"/>
        </w:rPr>
        <w:t xml:space="preserve"> (skat. 3.</w:t>
      </w:r>
      <w:r w:rsidR="00367DDE">
        <w:rPr>
          <w:rFonts w:eastAsia="Cambria" w:cs="Times New Roman"/>
          <w:szCs w:val="24"/>
        </w:rPr>
        <w:t>21</w:t>
      </w:r>
      <w:r w:rsidR="00C263F0">
        <w:rPr>
          <w:rFonts w:eastAsia="Cambria" w:cs="Times New Roman"/>
          <w:szCs w:val="24"/>
        </w:rPr>
        <w:t>. att.)</w:t>
      </w:r>
      <w:r w:rsidRPr="00D346E7">
        <w:rPr>
          <w:rFonts w:eastAsia="Cambria" w:cs="Times New Roman"/>
          <w:szCs w:val="24"/>
        </w:rPr>
        <w:t>, kur tas ir noteikts kā sasniedzams rādītājs. Jāatzīmē, ka ļoti līdzīga AER daļa ir arī AE_62% scenārijā. Turpretim ETS2 scenārijā CO</w:t>
      </w:r>
      <w:r w:rsidRPr="00D346E7">
        <w:rPr>
          <w:rFonts w:eastAsia="Cambria" w:cs="Times New Roman"/>
          <w:szCs w:val="24"/>
          <w:vertAlign w:val="subscript"/>
        </w:rPr>
        <w:t>2</w:t>
      </w:r>
      <w:r w:rsidRPr="00D346E7">
        <w:rPr>
          <w:rFonts w:eastAsia="Cambria" w:cs="Times New Roman"/>
          <w:szCs w:val="24"/>
        </w:rPr>
        <w:t xml:space="preserve"> nodoklis neatstāj iespaidu uz AER īpatsvaru kopējā kurināmā patēriņā apakšsektorā līdz 2030. gadam. Tikai apmēram pēc 2037. gada ETS2 piemērotās CO</w:t>
      </w:r>
      <w:r w:rsidRPr="00D346E7">
        <w:rPr>
          <w:rFonts w:eastAsia="Cambria" w:cs="Times New Roman"/>
          <w:szCs w:val="24"/>
          <w:vertAlign w:val="subscript"/>
        </w:rPr>
        <w:t>2</w:t>
      </w:r>
      <w:r w:rsidRPr="00D346E7">
        <w:rPr>
          <w:rFonts w:eastAsia="Cambria" w:cs="Times New Roman"/>
          <w:szCs w:val="24"/>
        </w:rPr>
        <w:t xml:space="preserve"> nodokļa likmes atstāj nozīmīgu iespaidu uz izmantotā kurināmā struktūru ēku apkurei.</w:t>
      </w:r>
    </w:p>
    <w:p w14:paraId="36E91AC2" w14:textId="77777777" w:rsidR="00887037" w:rsidRPr="00D346E7" w:rsidRDefault="00887037" w:rsidP="00887037">
      <w:pPr>
        <w:spacing w:before="120" w:after="120"/>
        <w:jc w:val="both"/>
        <w:rPr>
          <w:rFonts w:eastAsia="Cambria" w:cs="Times New Roman"/>
          <w:szCs w:val="24"/>
        </w:rPr>
      </w:pPr>
      <w:r w:rsidRPr="00D346E7">
        <w:rPr>
          <w:rFonts w:eastAsia="Cambria" w:cs="Times New Roman"/>
          <w:szCs w:val="24"/>
        </w:rPr>
        <w:t>AER izmantošanas palielināšana un energoefektivitātes paaugstināšana atstāj pozitīvu ie</w:t>
      </w:r>
      <w:r>
        <w:rPr>
          <w:rFonts w:eastAsia="Cambria" w:cs="Times New Roman"/>
          <w:szCs w:val="24"/>
        </w:rPr>
        <w:t>spaidu uz SEG emisiju izmaiņām e</w:t>
      </w:r>
      <w:r w:rsidRPr="00D346E7">
        <w:rPr>
          <w:rFonts w:eastAsia="Cambria" w:cs="Times New Roman"/>
          <w:szCs w:val="24"/>
        </w:rPr>
        <w:t>nerģētikā</w:t>
      </w:r>
      <w:r>
        <w:rPr>
          <w:rFonts w:eastAsia="Cambria" w:cs="Times New Roman"/>
          <w:szCs w:val="24"/>
        </w:rPr>
        <w:t xml:space="preserve"> (skat. 3.22. att.)</w:t>
      </w:r>
      <w:r w:rsidRPr="00D346E7">
        <w:rPr>
          <w:rFonts w:eastAsia="Cambria" w:cs="Times New Roman"/>
          <w:szCs w:val="24"/>
        </w:rPr>
        <w:t>. AER kopējā īpatsvara palielināšana enerģijas galapatēriņā ļauj samazināt SEG emisijas vidējā termiņā (2030.gads) un ilgtermiņā (2050.gads).</w:t>
      </w:r>
    </w:p>
    <w:p w14:paraId="4BBBB04F" w14:textId="77777777" w:rsidR="00887037" w:rsidRPr="00D346E7" w:rsidRDefault="00887037" w:rsidP="00887037">
      <w:pPr>
        <w:spacing w:before="120" w:after="120"/>
        <w:jc w:val="both"/>
        <w:rPr>
          <w:rFonts w:eastAsia="Cambria" w:cs="Times New Roman"/>
          <w:szCs w:val="24"/>
        </w:rPr>
      </w:pPr>
      <w:r w:rsidRPr="00D346E7">
        <w:rPr>
          <w:rFonts w:eastAsia="Cambria" w:cs="Times New Roman"/>
          <w:szCs w:val="24"/>
        </w:rPr>
        <w:t xml:space="preserve">AE_apakšmērķu scenārija </w:t>
      </w:r>
      <w:r>
        <w:rPr>
          <w:rFonts w:eastAsia="Cambria" w:cs="Times New Roman"/>
          <w:szCs w:val="24"/>
        </w:rPr>
        <w:t xml:space="preserve">(skat. 3.23. att.) </w:t>
      </w:r>
      <w:r w:rsidRPr="00D346E7">
        <w:rPr>
          <w:rFonts w:eastAsia="Cambria" w:cs="Times New Roman"/>
          <w:szCs w:val="24"/>
        </w:rPr>
        <w:t>2030. gadā SEG emisijas ir par 20,1 % mazākas, AE_62% scenārijā par 30,5% mazākas, NEKP pasākumu scenārijā par 7,2 % mazākas un ETS2 scenārijā par 3,1% mazākas nekā NEKP Bāzes scenārijā.</w:t>
      </w:r>
    </w:p>
    <w:p w14:paraId="2DD084DA" w14:textId="77777777" w:rsidR="00C263F0" w:rsidRPr="00D346E7" w:rsidRDefault="00C263F0" w:rsidP="00D346E7">
      <w:pPr>
        <w:spacing w:before="120" w:after="120"/>
        <w:jc w:val="both"/>
        <w:rPr>
          <w:rFonts w:eastAsia="Cambria" w:cs="Times New Roman"/>
          <w:szCs w:val="24"/>
        </w:rPr>
      </w:pPr>
    </w:p>
    <w:p w14:paraId="33855D76" w14:textId="414D6761" w:rsidR="00D346E7" w:rsidRPr="00D346E7" w:rsidRDefault="000654E1" w:rsidP="00D346E7">
      <w:pPr>
        <w:spacing w:before="120" w:after="120"/>
        <w:ind w:left="360"/>
        <w:jc w:val="center"/>
        <w:rPr>
          <w:rFonts w:cs="Times New Roman"/>
          <w:szCs w:val="24"/>
        </w:rPr>
      </w:pPr>
      <w:r>
        <w:rPr>
          <w:rFonts w:cs="Times New Roman"/>
          <w:noProof/>
          <w:szCs w:val="24"/>
          <w:lang w:eastAsia="lv-LV"/>
        </w:rPr>
        <w:lastRenderedPageBreak/>
        <w:drawing>
          <wp:inline distT="0" distB="0" distL="0" distR="0" wp14:anchorId="7EA1CEA9" wp14:editId="6C3ED3BA">
            <wp:extent cx="3838575" cy="2305050"/>
            <wp:effectExtent l="0" t="0" r="9525" b="0"/>
            <wp:docPr id="22" name="Picture 10" descr="A graph showing the number of companies in different countries/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graph showing the number of companies in different countries/regions&#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8575" cy="2305050"/>
                    </a:xfrm>
                    <a:prstGeom prst="rect">
                      <a:avLst/>
                    </a:prstGeom>
                    <a:noFill/>
                    <a:ln>
                      <a:noFill/>
                    </a:ln>
                  </pic:spPr>
                </pic:pic>
              </a:graphicData>
            </a:graphic>
          </wp:inline>
        </w:drawing>
      </w:r>
    </w:p>
    <w:p w14:paraId="1E5F4F89" w14:textId="77777777" w:rsidR="00D346E7" w:rsidRPr="00D346E7" w:rsidRDefault="00C263F0" w:rsidP="00D346E7">
      <w:pPr>
        <w:spacing w:before="120" w:after="120"/>
        <w:ind w:left="360"/>
        <w:jc w:val="center"/>
        <w:rPr>
          <w:rFonts w:eastAsia="Cambria" w:cs="Times New Roman"/>
          <w:b/>
          <w:bCs/>
          <w:szCs w:val="24"/>
        </w:rPr>
      </w:pPr>
      <w:r>
        <w:rPr>
          <w:rFonts w:cs="Times New Roman"/>
          <w:b/>
          <w:bCs/>
          <w:szCs w:val="24"/>
        </w:rPr>
        <w:t>3.</w:t>
      </w:r>
      <w:r w:rsidR="00367DDE">
        <w:rPr>
          <w:rFonts w:cs="Times New Roman"/>
          <w:b/>
          <w:bCs/>
          <w:szCs w:val="24"/>
        </w:rPr>
        <w:t>21</w:t>
      </w:r>
      <w:r w:rsidR="00D346E7" w:rsidRPr="00D346E7">
        <w:rPr>
          <w:rFonts w:cs="Times New Roman"/>
          <w:b/>
          <w:bCs/>
          <w:szCs w:val="24"/>
        </w:rPr>
        <w:t>. attēls.</w:t>
      </w:r>
      <w:r w:rsidR="00D346E7" w:rsidRPr="00D346E7">
        <w:rPr>
          <w:rFonts w:eastAsia="Cambria" w:cs="Times New Roman"/>
          <w:b/>
          <w:bCs/>
          <w:szCs w:val="24"/>
        </w:rPr>
        <w:t xml:space="preserve"> Aprēķinātā AER daļa ēku sektorā</w:t>
      </w:r>
    </w:p>
    <w:p w14:paraId="497B022D" w14:textId="77777777" w:rsidR="00C263F0" w:rsidRDefault="00C263F0" w:rsidP="00D346E7">
      <w:pPr>
        <w:spacing w:before="120" w:after="120"/>
        <w:jc w:val="both"/>
        <w:rPr>
          <w:rFonts w:eastAsia="Cambria" w:cs="Times New Roman"/>
          <w:szCs w:val="24"/>
        </w:rPr>
      </w:pPr>
    </w:p>
    <w:p w14:paraId="5A692641" w14:textId="03484261"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2082160B" wp14:editId="512B4022">
            <wp:extent cx="3867150" cy="2324100"/>
            <wp:effectExtent l="0" t="0" r="0" b="0"/>
            <wp:docPr id="23" name="Picture 1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aph of different colored line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67150" cy="2324100"/>
                    </a:xfrm>
                    <a:prstGeom prst="rect">
                      <a:avLst/>
                    </a:prstGeom>
                    <a:noFill/>
                    <a:ln>
                      <a:noFill/>
                    </a:ln>
                  </pic:spPr>
                </pic:pic>
              </a:graphicData>
            </a:graphic>
          </wp:inline>
        </w:drawing>
      </w:r>
    </w:p>
    <w:p w14:paraId="0EED70C5" w14:textId="77777777" w:rsidR="00D346E7" w:rsidRPr="00D346E7" w:rsidRDefault="00C263F0" w:rsidP="00D346E7">
      <w:pPr>
        <w:pStyle w:val="Caption"/>
        <w:rPr>
          <w:rFonts w:eastAsia="Cambria"/>
          <w:sz w:val="24"/>
          <w:szCs w:val="24"/>
        </w:rPr>
      </w:pPr>
      <w:r>
        <w:rPr>
          <w:sz w:val="24"/>
          <w:szCs w:val="24"/>
        </w:rPr>
        <w:t>3.</w:t>
      </w:r>
      <w:r w:rsidR="00367DDE">
        <w:rPr>
          <w:sz w:val="24"/>
          <w:szCs w:val="24"/>
        </w:rPr>
        <w:t>22</w:t>
      </w:r>
      <w:r w:rsidR="00D346E7" w:rsidRPr="00D346E7">
        <w:rPr>
          <w:sz w:val="24"/>
          <w:szCs w:val="24"/>
        </w:rPr>
        <w:t>.attēls</w:t>
      </w:r>
      <w:r w:rsidR="00D346E7" w:rsidRPr="00D346E7">
        <w:rPr>
          <w:rFonts w:eastAsia="Cambria"/>
          <w:sz w:val="24"/>
          <w:szCs w:val="24"/>
        </w:rPr>
        <w:t xml:space="preserve">. </w:t>
      </w:r>
      <w:r w:rsidR="00D346E7" w:rsidRPr="00D346E7">
        <w:rPr>
          <w:rFonts w:eastAsia="Cambria"/>
          <w:iCs w:val="0"/>
          <w:sz w:val="24"/>
          <w:szCs w:val="24"/>
        </w:rPr>
        <w:t>Aprēķinātās S</w:t>
      </w:r>
      <w:r w:rsidR="00D346E7" w:rsidRPr="00D346E7">
        <w:rPr>
          <w:rFonts w:eastAsia="Cambria"/>
          <w:sz w:val="24"/>
          <w:szCs w:val="24"/>
        </w:rPr>
        <w:t xml:space="preserve">EG emisiju prognozes Enerģētikai modelētos scenārijos </w:t>
      </w:r>
    </w:p>
    <w:p w14:paraId="460BF149" w14:textId="77777777" w:rsidR="00C263F0" w:rsidRDefault="00C263F0" w:rsidP="00D346E7">
      <w:pPr>
        <w:spacing w:before="120" w:after="120"/>
        <w:jc w:val="both"/>
        <w:rPr>
          <w:rFonts w:eastAsia="Cambria" w:cs="Times New Roman"/>
          <w:szCs w:val="24"/>
        </w:rPr>
      </w:pPr>
    </w:p>
    <w:p w14:paraId="18B2257C" w14:textId="00A0E2AD"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39946629" wp14:editId="0CE9CE6D">
            <wp:extent cx="3886200" cy="2333625"/>
            <wp:effectExtent l="0" t="0" r="0" b="9525"/>
            <wp:docPr id="24" name="Picture 16"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graph with blue bar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86200" cy="2333625"/>
                    </a:xfrm>
                    <a:prstGeom prst="rect">
                      <a:avLst/>
                    </a:prstGeom>
                    <a:noFill/>
                    <a:ln>
                      <a:noFill/>
                    </a:ln>
                  </pic:spPr>
                </pic:pic>
              </a:graphicData>
            </a:graphic>
          </wp:inline>
        </w:drawing>
      </w:r>
    </w:p>
    <w:p w14:paraId="0554D720" w14:textId="10F76EAA" w:rsidR="00D346E7" w:rsidRPr="00D346E7" w:rsidRDefault="00C263F0" w:rsidP="00D346E7">
      <w:pPr>
        <w:pStyle w:val="Caption"/>
        <w:rPr>
          <w:rFonts w:eastAsia="Cambria"/>
          <w:iCs w:val="0"/>
          <w:sz w:val="24"/>
          <w:szCs w:val="24"/>
        </w:rPr>
      </w:pPr>
      <w:r>
        <w:rPr>
          <w:sz w:val="24"/>
          <w:szCs w:val="24"/>
        </w:rPr>
        <w:t>3.</w:t>
      </w:r>
      <w:r w:rsidR="00367DDE">
        <w:rPr>
          <w:sz w:val="24"/>
          <w:szCs w:val="24"/>
        </w:rPr>
        <w:t>23</w:t>
      </w:r>
      <w:r w:rsidR="00D346E7" w:rsidRPr="00D346E7">
        <w:rPr>
          <w:sz w:val="24"/>
          <w:szCs w:val="24"/>
        </w:rPr>
        <w:t xml:space="preserve">.attēls. </w:t>
      </w:r>
      <w:r w:rsidR="00D346E7" w:rsidRPr="00D346E7">
        <w:rPr>
          <w:rFonts w:eastAsia="Cambria"/>
          <w:iCs w:val="0"/>
          <w:sz w:val="24"/>
          <w:szCs w:val="24"/>
        </w:rPr>
        <w:t xml:space="preserve">Aprēķinātais SEG emisiju samazinājums modelētos scenārijos uz 2030. gadu, salīdzinot ar NEKP_Bāzes scenāriju </w:t>
      </w:r>
    </w:p>
    <w:p w14:paraId="22CD8845" w14:textId="77777777" w:rsidR="00C263F0" w:rsidRDefault="00C263F0" w:rsidP="00D346E7">
      <w:pPr>
        <w:spacing w:before="120" w:after="120"/>
        <w:jc w:val="both"/>
        <w:rPr>
          <w:rFonts w:eastAsia="Cambria" w:cs="Times New Roman"/>
          <w:szCs w:val="24"/>
        </w:rPr>
      </w:pPr>
    </w:p>
    <w:p w14:paraId="41F187E6" w14:textId="77777777" w:rsidR="00D346E7" w:rsidRDefault="00D346E7" w:rsidP="00D346E7">
      <w:pPr>
        <w:spacing w:before="120" w:after="120"/>
        <w:jc w:val="both"/>
        <w:rPr>
          <w:rFonts w:eastAsia="Cambria" w:cs="Times New Roman"/>
          <w:szCs w:val="24"/>
        </w:rPr>
      </w:pPr>
      <w:r w:rsidRPr="00D346E7">
        <w:rPr>
          <w:rFonts w:eastAsia="Cambria" w:cs="Times New Roman"/>
          <w:szCs w:val="24"/>
        </w:rPr>
        <w:lastRenderedPageBreak/>
        <w:t>No kopējo SEG emisiju samazināšanas Enerģētikā uz 2030. gadu viedokļa, salīdzinot ar NEKP Bāzes scenāriju, vislielāko devumu AER izmantošanas palielināšana atstāj uz enerģijas pārveidošanas sektoru un transporta sektoru (skat</w:t>
      </w:r>
      <w:r w:rsidR="00C263F0">
        <w:rPr>
          <w:rFonts w:eastAsia="Cambria" w:cs="Times New Roman"/>
          <w:szCs w:val="24"/>
        </w:rPr>
        <w:t>.</w:t>
      </w:r>
      <w:r w:rsidRPr="00D346E7">
        <w:rPr>
          <w:rFonts w:eastAsia="Cambria" w:cs="Times New Roman"/>
          <w:szCs w:val="24"/>
        </w:rPr>
        <w:t xml:space="preserve"> </w:t>
      </w:r>
      <w:r w:rsidR="00C263F0">
        <w:rPr>
          <w:rFonts w:eastAsia="Cambria" w:cs="Times New Roman"/>
          <w:szCs w:val="24"/>
        </w:rPr>
        <w:t>3.</w:t>
      </w:r>
      <w:r w:rsidR="00367DDE">
        <w:rPr>
          <w:rFonts w:eastAsia="Cambria" w:cs="Times New Roman"/>
          <w:szCs w:val="24"/>
        </w:rPr>
        <w:t>24</w:t>
      </w:r>
      <w:r w:rsidR="00C263F0">
        <w:rPr>
          <w:rFonts w:eastAsia="Cambria" w:cs="Times New Roman"/>
          <w:szCs w:val="24"/>
        </w:rPr>
        <w:t>. </w:t>
      </w:r>
      <w:r w:rsidRPr="00D346E7">
        <w:rPr>
          <w:rFonts w:eastAsia="Cambria" w:cs="Times New Roman"/>
          <w:szCs w:val="24"/>
        </w:rPr>
        <w:t>att</w:t>
      </w:r>
      <w:r w:rsidR="00C263F0">
        <w:rPr>
          <w:rFonts w:eastAsia="Cambria" w:cs="Times New Roman"/>
          <w:szCs w:val="24"/>
        </w:rPr>
        <w:t>.</w:t>
      </w:r>
      <w:r w:rsidRPr="00D346E7">
        <w:rPr>
          <w:rFonts w:eastAsia="Cambria" w:cs="Times New Roman"/>
          <w:szCs w:val="24"/>
        </w:rPr>
        <w:t>).</w:t>
      </w:r>
    </w:p>
    <w:p w14:paraId="69F74B4F" w14:textId="65F901EA" w:rsidR="00C263F0" w:rsidRPr="00D346E7" w:rsidRDefault="00C263F0" w:rsidP="00C263F0">
      <w:pPr>
        <w:spacing w:before="120" w:after="120"/>
        <w:jc w:val="both"/>
        <w:rPr>
          <w:rFonts w:eastAsia="Cambria" w:cs="Times New Roman"/>
          <w:szCs w:val="24"/>
        </w:rPr>
      </w:pPr>
      <w:r w:rsidRPr="00D346E7">
        <w:rPr>
          <w:rFonts w:eastAsia="Cambria" w:cs="Times New Roman"/>
          <w:szCs w:val="24"/>
        </w:rPr>
        <w:t>Laika posmā no 2030.gada līdz 2050.gadam</w:t>
      </w:r>
      <w:r w:rsidR="00857535">
        <w:rPr>
          <w:rFonts w:eastAsia="Cambria" w:cs="Times New Roman"/>
          <w:szCs w:val="24"/>
        </w:rPr>
        <w:t xml:space="preserve"> </w:t>
      </w:r>
      <w:r w:rsidRPr="00D346E7">
        <w:rPr>
          <w:rFonts w:eastAsia="Cambria" w:cs="Times New Roman"/>
          <w:szCs w:val="24"/>
        </w:rPr>
        <w:t>lielāku iespaidu uz SEG emisiju samazināšanu transporta sektorā varētu atstāt CO</w:t>
      </w:r>
      <w:r w:rsidRPr="00D346E7">
        <w:rPr>
          <w:rFonts w:eastAsia="Cambria" w:cs="Times New Roman"/>
          <w:szCs w:val="24"/>
          <w:vertAlign w:val="subscript"/>
        </w:rPr>
        <w:t>2</w:t>
      </w:r>
      <w:r w:rsidRPr="00D346E7">
        <w:rPr>
          <w:rFonts w:eastAsia="Cambria" w:cs="Times New Roman"/>
          <w:szCs w:val="24"/>
        </w:rPr>
        <w:t xml:space="preserve"> nodokļa likmes paaugstināšana ETS2 sistēmā nekā AER apakšmērķu noteikšana</w:t>
      </w:r>
      <w:r>
        <w:rPr>
          <w:rFonts w:eastAsia="Cambria" w:cs="Times New Roman"/>
          <w:szCs w:val="24"/>
        </w:rPr>
        <w:t xml:space="preserve"> </w:t>
      </w:r>
      <w:r w:rsidRPr="00D346E7">
        <w:rPr>
          <w:rFonts w:eastAsia="Cambria" w:cs="Times New Roman"/>
          <w:szCs w:val="24"/>
        </w:rPr>
        <w:t>(skat</w:t>
      </w:r>
      <w:r>
        <w:rPr>
          <w:rFonts w:eastAsia="Cambria" w:cs="Times New Roman"/>
          <w:szCs w:val="24"/>
        </w:rPr>
        <w:t>.</w:t>
      </w:r>
      <w:r w:rsidRPr="00D346E7">
        <w:rPr>
          <w:rFonts w:eastAsia="Cambria" w:cs="Times New Roman"/>
          <w:szCs w:val="24"/>
        </w:rPr>
        <w:t xml:space="preserve"> </w:t>
      </w:r>
      <w:r>
        <w:rPr>
          <w:rFonts w:eastAsia="Cambria" w:cs="Times New Roman"/>
          <w:szCs w:val="24"/>
        </w:rPr>
        <w:t>3.</w:t>
      </w:r>
      <w:r w:rsidR="00367DDE">
        <w:rPr>
          <w:rFonts w:eastAsia="Cambria" w:cs="Times New Roman"/>
          <w:szCs w:val="24"/>
        </w:rPr>
        <w:t>25</w:t>
      </w:r>
      <w:r>
        <w:rPr>
          <w:rFonts w:eastAsia="Cambria" w:cs="Times New Roman"/>
          <w:szCs w:val="24"/>
        </w:rPr>
        <w:t>. </w:t>
      </w:r>
      <w:r w:rsidRPr="00D346E7">
        <w:rPr>
          <w:rFonts w:eastAsia="Cambria" w:cs="Times New Roman"/>
          <w:szCs w:val="24"/>
        </w:rPr>
        <w:t>att</w:t>
      </w:r>
      <w:r>
        <w:rPr>
          <w:rFonts w:eastAsia="Cambria" w:cs="Times New Roman"/>
          <w:szCs w:val="24"/>
        </w:rPr>
        <w:t>.</w:t>
      </w:r>
      <w:r w:rsidRPr="00D346E7">
        <w:rPr>
          <w:rFonts w:eastAsia="Cambria" w:cs="Times New Roman"/>
          <w:szCs w:val="24"/>
        </w:rPr>
        <w:t>).</w:t>
      </w:r>
    </w:p>
    <w:p w14:paraId="4F10FDD9" w14:textId="77777777" w:rsidR="00C263F0" w:rsidRDefault="00C263F0" w:rsidP="00C263F0">
      <w:pPr>
        <w:spacing w:before="120" w:after="120"/>
        <w:jc w:val="both"/>
        <w:rPr>
          <w:rFonts w:eastAsia="Cambria" w:cs="Times New Roman"/>
          <w:szCs w:val="24"/>
        </w:rPr>
      </w:pPr>
      <w:r w:rsidRPr="00D346E7">
        <w:rPr>
          <w:rFonts w:eastAsia="Cambria" w:cs="Times New Roman"/>
          <w:szCs w:val="24"/>
        </w:rPr>
        <w:t>NEKP pasākumu scenārijā ne-ETS enerģētikas sektorā 2030. gadā SEG emisijas samazināsies par 25,9%, salīdzinot ar 2005. gadu. Savukārt, NEKP pasākuma scenārijā ir 10,5% samazinājums</w:t>
      </w:r>
      <w:r>
        <w:rPr>
          <w:rFonts w:eastAsia="Cambria" w:cs="Times New Roman"/>
          <w:szCs w:val="24"/>
        </w:rPr>
        <w:t xml:space="preserve"> </w:t>
      </w:r>
      <w:r w:rsidRPr="00D346E7">
        <w:rPr>
          <w:rFonts w:eastAsia="Cambria" w:cs="Times New Roman"/>
          <w:szCs w:val="24"/>
        </w:rPr>
        <w:t>(skat</w:t>
      </w:r>
      <w:r>
        <w:rPr>
          <w:rFonts w:eastAsia="Cambria" w:cs="Times New Roman"/>
          <w:szCs w:val="24"/>
        </w:rPr>
        <w:t>.</w:t>
      </w:r>
      <w:r w:rsidRPr="00D346E7">
        <w:rPr>
          <w:rFonts w:eastAsia="Cambria" w:cs="Times New Roman"/>
          <w:szCs w:val="24"/>
        </w:rPr>
        <w:t xml:space="preserve"> </w:t>
      </w:r>
      <w:r>
        <w:rPr>
          <w:rFonts w:eastAsia="Cambria" w:cs="Times New Roman"/>
          <w:szCs w:val="24"/>
        </w:rPr>
        <w:t>3.</w:t>
      </w:r>
      <w:r w:rsidR="00367DDE">
        <w:rPr>
          <w:rFonts w:eastAsia="Cambria" w:cs="Times New Roman"/>
          <w:szCs w:val="24"/>
        </w:rPr>
        <w:t>26</w:t>
      </w:r>
      <w:r>
        <w:rPr>
          <w:rFonts w:eastAsia="Cambria" w:cs="Times New Roman"/>
          <w:szCs w:val="24"/>
        </w:rPr>
        <w:t>. </w:t>
      </w:r>
      <w:r w:rsidRPr="00D346E7">
        <w:rPr>
          <w:rFonts w:eastAsia="Cambria" w:cs="Times New Roman"/>
          <w:szCs w:val="24"/>
        </w:rPr>
        <w:t>att</w:t>
      </w:r>
      <w:r>
        <w:rPr>
          <w:rFonts w:eastAsia="Cambria" w:cs="Times New Roman"/>
          <w:szCs w:val="24"/>
        </w:rPr>
        <w:t>.</w:t>
      </w:r>
      <w:r w:rsidRPr="00D346E7">
        <w:rPr>
          <w:rFonts w:eastAsia="Cambria" w:cs="Times New Roman"/>
          <w:szCs w:val="24"/>
        </w:rPr>
        <w:t xml:space="preserve">), salīdzinot ar </w:t>
      </w:r>
      <w:r>
        <w:rPr>
          <w:rFonts w:eastAsia="Cambria" w:cs="Times New Roman"/>
          <w:szCs w:val="24"/>
        </w:rPr>
        <w:t>b</w:t>
      </w:r>
      <w:r w:rsidRPr="00D346E7">
        <w:rPr>
          <w:rFonts w:eastAsia="Cambria" w:cs="Times New Roman"/>
          <w:szCs w:val="24"/>
        </w:rPr>
        <w:t>āzes scenāriju.</w:t>
      </w:r>
    </w:p>
    <w:p w14:paraId="3E928B8D" w14:textId="77777777" w:rsidR="00887037" w:rsidRPr="00D346E7" w:rsidRDefault="00887037" w:rsidP="00C263F0">
      <w:pPr>
        <w:spacing w:before="120" w:after="120"/>
        <w:jc w:val="both"/>
        <w:rPr>
          <w:rFonts w:eastAsia="Cambria" w:cs="Times New Roman"/>
          <w:szCs w:val="24"/>
          <w:lang w:eastAsia="lv-LV"/>
        </w:rPr>
      </w:pPr>
    </w:p>
    <w:p w14:paraId="59E75A1A" w14:textId="77777777" w:rsidR="00C263F0" w:rsidRPr="00D346E7" w:rsidRDefault="00C263F0" w:rsidP="00D346E7">
      <w:pPr>
        <w:spacing w:before="120" w:after="120"/>
        <w:jc w:val="both"/>
        <w:rPr>
          <w:rFonts w:eastAsia="Cambria" w:cs="Times New Roman"/>
          <w:szCs w:val="24"/>
        </w:rPr>
      </w:pPr>
    </w:p>
    <w:p w14:paraId="1B788358" w14:textId="22A77C34"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4F70F48F" wp14:editId="150CAF23">
            <wp:extent cx="3762375" cy="2266950"/>
            <wp:effectExtent l="0" t="0" r="9525" b="0"/>
            <wp:docPr id="25" name="Picture 174024012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240121" descr="A graph of different colored bars&#10;&#10;Description automatically generated with medium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62375" cy="2266950"/>
                    </a:xfrm>
                    <a:prstGeom prst="rect">
                      <a:avLst/>
                    </a:prstGeom>
                    <a:noFill/>
                    <a:ln>
                      <a:noFill/>
                    </a:ln>
                  </pic:spPr>
                </pic:pic>
              </a:graphicData>
            </a:graphic>
          </wp:inline>
        </w:drawing>
      </w:r>
    </w:p>
    <w:p w14:paraId="79539005" w14:textId="77777777" w:rsidR="00D346E7" w:rsidRDefault="00C263F0" w:rsidP="00D346E7">
      <w:pPr>
        <w:pStyle w:val="Caption"/>
        <w:rPr>
          <w:rFonts w:eastAsia="Cambria"/>
          <w:sz w:val="24"/>
          <w:szCs w:val="24"/>
        </w:rPr>
      </w:pPr>
      <w:r>
        <w:rPr>
          <w:sz w:val="24"/>
          <w:szCs w:val="24"/>
        </w:rPr>
        <w:t>3.</w:t>
      </w:r>
      <w:r w:rsidR="00367DDE">
        <w:rPr>
          <w:sz w:val="24"/>
          <w:szCs w:val="24"/>
        </w:rPr>
        <w:t>24</w:t>
      </w:r>
      <w:r w:rsidR="00D346E7" w:rsidRPr="00D346E7">
        <w:rPr>
          <w:sz w:val="24"/>
          <w:szCs w:val="24"/>
        </w:rPr>
        <w:t>.attēls.</w:t>
      </w:r>
      <w:r w:rsidR="00D346E7" w:rsidRPr="00D346E7">
        <w:rPr>
          <w:rFonts w:eastAsia="Cambria"/>
          <w:sz w:val="24"/>
          <w:szCs w:val="24"/>
        </w:rPr>
        <w:t xml:space="preserve"> Aprēķinātais SEG emisiju samazinājums modelētos scenārijos uz 2030. gadu pa sektoriem, salīdzinot ar NEKP_Bāzes scenāriju</w:t>
      </w:r>
    </w:p>
    <w:p w14:paraId="5F25E569" w14:textId="77777777" w:rsidR="00887037" w:rsidRDefault="00887037" w:rsidP="00887037">
      <w:pPr>
        <w:rPr>
          <w:rFonts w:eastAsia="Cambria"/>
        </w:rPr>
      </w:pPr>
    </w:p>
    <w:p w14:paraId="4BDED4B2" w14:textId="77777777" w:rsidR="00887037" w:rsidRPr="00887037" w:rsidRDefault="00887037" w:rsidP="00887037">
      <w:pPr>
        <w:rPr>
          <w:rFonts w:eastAsia="Cambria"/>
        </w:rPr>
      </w:pPr>
    </w:p>
    <w:p w14:paraId="7241F9ED" w14:textId="77777777" w:rsidR="00887037" w:rsidRDefault="000654E1" w:rsidP="00887037">
      <w:pPr>
        <w:spacing w:before="120" w:after="120"/>
        <w:jc w:val="center"/>
        <w:rPr>
          <w:rFonts w:eastAsia="Cambria"/>
          <w:szCs w:val="24"/>
        </w:rPr>
      </w:pPr>
      <w:r>
        <w:rPr>
          <w:rFonts w:cs="Times New Roman"/>
          <w:noProof/>
          <w:szCs w:val="24"/>
          <w:lang w:eastAsia="lv-LV"/>
        </w:rPr>
        <w:drawing>
          <wp:inline distT="0" distB="0" distL="0" distR="0" wp14:anchorId="3B62DFCA" wp14:editId="2E8BF825">
            <wp:extent cx="3762375" cy="2266950"/>
            <wp:effectExtent l="0" t="0" r="9525" b="0"/>
            <wp:docPr id="26" name="Picture 97888596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885965" descr="A graph of different colored bars&#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62375" cy="2266950"/>
                    </a:xfrm>
                    <a:prstGeom prst="rect">
                      <a:avLst/>
                    </a:prstGeom>
                    <a:noFill/>
                    <a:ln>
                      <a:noFill/>
                    </a:ln>
                  </pic:spPr>
                </pic:pic>
              </a:graphicData>
            </a:graphic>
          </wp:inline>
        </w:drawing>
      </w:r>
    </w:p>
    <w:p w14:paraId="5E0AFB0A" w14:textId="681DED4F" w:rsidR="00D346E7" w:rsidRPr="00887037" w:rsidRDefault="00C263F0" w:rsidP="00887037">
      <w:pPr>
        <w:spacing w:before="120" w:after="120"/>
        <w:jc w:val="center"/>
        <w:rPr>
          <w:rFonts w:cs="Times New Roman"/>
          <w:b/>
          <w:szCs w:val="24"/>
        </w:rPr>
      </w:pPr>
      <w:r w:rsidRPr="00887037">
        <w:rPr>
          <w:rFonts w:eastAsia="Cambria"/>
          <w:b/>
          <w:szCs w:val="24"/>
        </w:rPr>
        <w:t>3.</w:t>
      </w:r>
      <w:r w:rsidR="00367DDE" w:rsidRPr="00887037">
        <w:rPr>
          <w:rFonts w:eastAsia="Cambria"/>
          <w:b/>
          <w:szCs w:val="24"/>
        </w:rPr>
        <w:t>25</w:t>
      </w:r>
      <w:r w:rsidR="00D346E7" w:rsidRPr="00887037">
        <w:rPr>
          <w:rFonts w:eastAsia="Cambria"/>
          <w:b/>
          <w:szCs w:val="24"/>
        </w:rPr>
        <w:t>.attēls. Aprēķinātās SEG emisijas transporta sektoram modelētos scenārijos laika posmā 2030. – 2050.gads</w:t>
      </w:r>
    </w:p>
    <w:p w14:paraId="664DA9F6" w14:textId="5B0AF106" w:rsidR="00D346E7" w:rsidRPr="00D346E7" w:rsidRDefault="000654E1" w:rsidP="00D346E7">
      <w:pPr>
        <w:spacing w:before="120" w:after="120"/>
        <w:jc w:val="center"/>
        <w:rPr>
          <w:rFonts w:eastAsia="Cambria" w:cs="Times New Roman"/>
          <w:szCs w:val="24"/>
        </w:rPr>
      </w:pPr>
      <w:r>
        <w:rPr>
          <w:rFonts w:cs="Times New Roman"/>
          <w:noProof/>
          <w:szCs w:val="24"/>
          <w:lang w:eastAsia="lv-LV"/>
        </w:rPr>
        <w:lastRenderedPageBreak/>
        <w:drawing>
          <wp:inline distT="0" distB="0" distL="0" distR="0" wp14:anchorId="0D1FF549" wp14:editId="0423589B">
            <wp:extent cx="3743325" cy="2381250"/>
            <wp:effectExtent l="0" t="0" r="9525" b="0"/>
            <wp:docPr id="27" name="Picture 696349495"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349495" descr="A graph with different colored bars&#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43325" cy="2381250"/>
                    </a:xfrm>
                    <a:prstGeom prst="rect">
                      <a:avLst/>
                    </a:prstGeom>
                    <a:noFill/>
                    <a:ln>
                      <a:noFill/>
                    </a:ln>
                  </pic:spPr>
                </pic:pic>
              </a:graphicData>
            </a:graphic>
          </wp:inline>
        </w:drawing>
      </w:r>
    </w:p>
    <w:p w14:paraId="4C7E41D2" w14:textId="614566D2" w:rsidR="00D346E7" w:rsidRPr="00D346E7" w:rsidRDefault="00C263F0" w:rsidP="00D346E7">
      <w:pPr>
        <w:spacing w:before="120" w:after="120"/>
        <w:jc w:val="center"/>
        <w:rPr>
          <w:rFonts w:eastAsia="Cambria" w:cs="Times New Roman"/>
          <w:b/>
          <w:bCs/>
          <w:szCs w:val="24"/>
        </w:rPr>
      </w:pPr>
      <w:r>
        <w:rPr>
          <w:rFonts w:eastAsia="Cambria" w:cs="Times New Roman"/>
          <w:b/>
          <w:bCs/>
          <w:szCs w:val="24"/>
        </w:rPr>
        <w:t>3.</w:t>
      </w:r>
      <w:r w:rsidR="00367DDE">
        <w:rPr>
          <w:rFonts w:eastAsia="Cambria" w:cs="Times New Roman"/>
          <w:b/>
          <w:bCs/>
          <w:szCs w:val="24"/>
        </w:rPr>
        <w:t>26</w:t>
      </w:r>
      <w:r w:rsidR="00D346E7" w:rsidRPr="00D346E7">
        <w:rPr>
          <w:rFonts w:eastAsia="Cambria" w:cs="Times New Roman"/>
          <w:b/>
          <w:bCs/>
          <w:szCs w:val="24"/>
        </w:rPr>
        <w:t>.attēls.</w:t>
      </w:r>
      <w:r w:rsidR="00857535">
        <w:rPr>
          <w:rFonts w:eastAsia="Cambria" w:cs="Times New Roman"/>
          <w:b/>
          <w:bCs/>
          <w:szCs w:val="24"/>
        </w:rPr>
        <w:t xml:space="preserve"> </w:t>
      </w:r>
      <w:r w:rsidR="00D346E7" w:rsidRPr="00D346E7">
        <w:rPr>
          <w:rFonts w:eastAsia="Cambria" w:cs="Times New Roman"/>
          <w:b/>
          <w:bCs/>
          <w:szCs w:val="24"/>
        </w:rPr>
        <w:t>Ne-ETS enerģētikas sektora SEG emisijas 2005.-2030.gadā (NEKP pasākumu</w:t>
      </w:r>
      <w:r w:rsidR="00857535">
        <w:rPr>
          <w:rFonts w:eastAsia="Cambria" w:cs="Times New Roman"/>
          <w:b/>
          <w:bCs/>
          <w:szCs w:val="24"/>
        </w:rPr>
        <w:t xml:space="preserve"> </w:t>
      </w:r>
      <w:r w:rsidR="00D346E7" w:rsidRPr="00D346E7">
        <w:rPr>
          <w:rFonts w:eastAsia="Cambria" w:cs="Times New Roman"/>
          <w:b/>
          <w:bCs/>
          <w:szCs w:val="24"/>
        </w:rPr>
        <w:t>scenārijs) (kt CO</w:t>
      </w:r>
      <w:r w:rsidR="00D346E7" w:rsidRPr="00D346E7">
        <w:rPr>
          <w:rFonts w:eastAsia="Cambria" w:cs="Times New Roman"/>
          <w:b/>
          <w:bCs/>
          <w:szCs w:val="24"/>
          <w:vertAlign w:val="subscript"/>
        </w:rPr>
        <w:t>2</w:t>
      </w:r>
      <w:r w:rsidR="00D346E7" w:rsidRPr="00D346E7">
        <w:rPr>
          <w:rFonts w:eastAsia="Cambria" w:cs="Times New Roman"/>
          <w:b/>
          <w:bCs/>
          <w:szCs w:val="24"/>
        </w:rPr>
        <w:t xml:space="preserve"> ekv.)</w:t>
      </w:r>
    </w:p>
    <w:p w14:paraId="0A3D53A2" w14:textId="77777777" w:rsidR="00887037" w:rsidRDefault="00887037" w:rsidP="00D53993">
      <w:pPr>
        <w:pStyle w:val="Heading31"/>
        <w:spacing w:before="120"/>
        <w:jc w:val="both"/>
        <w:rPr>
          <w:rStyle w:val="normaltextrun"/>
          <w:rFonts w:ascii="Times New Roman" w:hAnsi="Times New Roman"/>
          <w:sz w:val="24"/>
          <w:szCs w:val="24"/>
          <w:lang w:val="lv-LV"/>
        </w:rPr>
      </w:pPr>
      <w:bookmarkStart w:id="132" w:name="_Toc169602248"/>
      <w:bookmarkStart w:id="133" w:name="_Toc147389940"/>
      <w:bookmarkStart w:id="134" w:name="_Toc147392421"/>
      <w:bookmarkStart w:id="135" w:name="_Toc147394721"/>
      <w:bookmarkStart w:id="136" w:name="_Toc148528058"/>
      <w:bookmarkStart w:id="137" w:name="_Toc149143814"/>
      <w:bookmarkStart w:id="138" w:name="_Toc149905929"/>
      <w:bookmarkStart w:id="139" w:name="_Toc149906162"/>
      <w:bookmarkStart w:id="140" w:name="_Toc150357193"/>
      <w:bookmarkStart w:id="141" w:name="_Toc151106397"/>
    </w:p>
    <w:p w14:paraId="311D102E" w14:textId="77777777" w:rsidR="00887037" w:rsidRDefault="00887037" w:rsidP="00887037">
      <w:pPr>
        <w:rPr>
          <w:lang w:eastAsia="en-GB"/>
        </w:rPr>
      </w:pPr>
    </w:p>
    <w:p w14:paraId="43029332" w14:textId="77777777" w:rsidR="00887037" w:rsidRPr="00887037" w:rsidRDefault="00887037" w:rsidP="00887037">
      <w:pPr>
        <w:rPr>
          <w:lang w:eastAsia="en-GB"/>
        </w:rPr>
      </w:pPr>
    </w:p>
    <w:p w14:paraId="22AFEE02" w14:textId="170086BA" w:rsidR="00D53993" w:rsidRPr="007A6B93" w:rsidRDefault="00D53993" w:rsidP="00D53993">
      <w:pPr>
        <w:pStyle w:val="Heading31"/>
        <w:spacing w:before="120"/>
        <w:jc w:val="both"/>
        <w:rPr>
          <w:rFonts w:ascii="Times New Roman" w:hAnsi="Times New Roman"/>
          <w:sz w:val="24"/>
          <w:szCs w:val="24"/>
          <w:lang w:val="lv-LV"/>
        </w:rPr>
      </w:pPr>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Transports</w:t>
      </w:r>
      <w:bookmarkEnd w:id="132"/>
      <w:r w:rsidRPr="007A6B93">
        <w:rPr>
          <w:rStyle w:val="eop"/>
          <w:rFonts w:ascii="Times New Roman" w:hAnsi="Times New Roman"/>
          <w:sz w:val="24"/>
          <w:szCs w:val="24"/>
          <w:lang w:val="lv-LV"/>
        </w:rPr>
        <w:t> </w:t>
      </w:r>
    </w:p>
    <w:bookmarkEnd w:id="133"/>
    <w:bookmarkEnd w:id="134"/>
    <w:bookmarkEnd w:id="135"/>
    <w:bookmarkEnd w:id="136"/>
    <w:bookmarkEnd w:id="137"/>
    <w:bookmarkEnd w:id="138"/>
    <w:bookmarkEnd w:id="139"/>
    <w:bookmarkEnd w:id="140"/>
    <w:bookmarkEnd w:id="141"/>
    <w:p w14:paraId="524A7899" w14:textId="15BC4099"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NEKP pasākumu</w:t>
      </w:r>
      <w:r w:rsidR="00857535">
        <w:rPr>
          <w:rFonts w:eastAsia="Cambria" w:cs="Times New Roman"/>
          <w:szCs w:val="24"/>
          <w:lang w:eastAsia="lv-LV"/>
        </w:rPr>
        <w:t xml:space="preserve"> </w:t>
      </w:r>
      <w:r w:rsidRPr="00D346E7">
        <w:rPr>
          <w:rFonts w:eastAsia="Cambria" w:cs="Times New Roman"/>
          <w:szCs w:val="24"/>
          <w:lang w:eastAsia="lv-LV"/>
        </w:rPr>
        <w:t xml:space="preserve">scenārijā papildus Bāzes scenārijam transporta sektorā ir iekļauts pasākums, kas nosaka degvielas piegādātājiem autotransporta sektoram ikgadēju SEG emisiju intensitātes samazinājuma pienākums uz 2030.gadu (samazināt SEG emisiju intensitāti par 13% pret esošo līmeni). Iekļautais papildus pasākums mērķa scenārijā būtiski ietekmē fosilās degvielas patēriņa samazināšanos autotransportā to aizvietojot ar modernās biodegvielas un elektroenerģijas patēriņu. Aprēķinātās SEG emisiju prognozes </w:t>
      </w:r>
      <w:r w:rsidR="0005602B" w:rsidRPr="00D346E7">
        <w:rPr>
          <w:rFonts w:eastAsia="Cambria" w:cs="Times New Roman"/>
          <w:szCs w:val="24"/>
        </w:rPr>
        <w:t>(skat</w:t>
      </w:r>
      <w:r w:rsidR="0005602B">
        <w:rPr>
          <w:rFonts w:eastAsia="Cambria" w:cs="Times New Roman"/>
          <w:szCs w:val="24"/>
        </w:rPr>
        <w:t>.</w:t>
      </w:r>
      <w:r w:rsidR="0005602B" w:rsidRPr="00D346E7">
        <w:rPr>
          <w:rFonts w:eastAsia="Cambria" w:cs="Times New Roman"/>
          <w:szCs w:val="24"/>
        </w:rPr>
        <w:t xml:space="preserve"> </w:t>
      </w:r>
      <w:r w:rsidR="0005602B">
        <w:rPr>
          <w:rFonts w:eastAsia="Cambria" w:cs="Times New Roman"/>
          <w:szCs w:val="24"/>
        </w:rPr>
        <w:t>3.</w:t>
      </w:r>
      <w:r w:rsidR="00367DDE">
        <w:rPr>
          <w:rFonts w:eastAsia="Cambria" w:cs="Times New Roman"/>
          <w:szCs w:val="24"/>
        </w:rPr>
        <w:t>27</w:t>
      </w:r>
      <w:r w:rsidR="0005602B">
        <w:rPr>
          <w:rFonts w:eastAsia="Cambria" w:cs="Times New Roman"/>
          <w:szCs w:val="24"/>
        </w:rPr>
        <w:t>. </w:t>
      </w:r>
      <w:r w:rsidR="0005602B" w:rsidRPr="00D346E7">
        <w:rPr>
          <w:rFonts w:eastAsia="Cambria" w:cs="Times New Roman"/>
          <w:szCs w:val="24"/>
        </w:rPr>
        <w:t>att</w:t>
      </w:r>
      <w:r w:rsidR="0005602B">
        <w:rPr>
          <w:rFonts w:eastAsia="Cambria" w:cs="Times New Roman"/>
          <w:szCs w:val="24"/>
        </w:rPr>
        <w:t>.</w:t>
      </w:r>
      <w:r w:rsidR="0005602B" w:rsidRPr="00D346E7">
        <w:rPr>
          <w:rFonts w:eastAsia="Cambria" w:cs="Times New Roman"/>
          <w:szCs w:val="24"/>
        </w:rPr>
        <w:t>)</w:t>
      </w:r>
      <w:r w:rsidR="0005602B">
        <w:rPr>
          <w:rFonts w:eastAsia="Cambria" w:cs="Times New Roman"/>
          <w:szCs w:val="24"/>
        </w:rPr>
        <w:t xml:space="preserve"> </w:t>
      </w:r>
      <w:r w:rsidRPr="00D346E7">
        <w:rPr>
          <w:rFonts w:eastAsia="Cambria" w:cs="Times New Roman"/>
          <w:szCs w:val="24"/>
          <w:lang w:eastAsia="lv-LV"/>
        </w:rPr>
        <w:t>2030. gadam ir par apmēram 13% mazākas nekā emisijas 2005. gadā.</w:t>
      </w:r>
      <w:r w:rsidR="00857535">
        <w:rPr>
          <w:rFonts w:eastAsia="Cambria" w:cs="Times New Roman"/>
          <w:szCs w:val="24"/>
          <w:lang w:eastAsia="lv-LV"/>
        </w:rPr>
        <w:t xml:space="preserve"> </w:t>
      </w:r>
    </w:p>
    <w:p w14:paraId="0E01766D" w14:textId="1DA1A7D7"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1E11A273" wp14:editId="71387306">
            <wp:extent cx="3943350" cy="2057400"/>
            <wp:effectExtent l="0" t="0" r="0" b="0"/>
            <wp:docPr id="28" name="Picture 128199466"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99466" descr="A graph of numbers and columns&#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43350" cy="2057400"/>
                    </a:xfrm>
                    <a:prstGeom prst="rect">
                      <a:avLst/>
                    </a:prstGeom>
                    <a:noFill/>
                    <a:ln>
                      <a:noFill/>
                    </a:ln>
                  </pic:spPr>
                </pic:pic>
              </a:graphicData>
            </a:graphic>
          </wp:inline>
        </w:drawing>
      </w:r>
    </w:p>
    <w:p w14:paraId="6928FC33" w14:textId="0E987B3E" w:rsidR="00D346E7" w:rsidRPr="00D346E7" w:rsidRDefault="0005602B" w:rsidP="00D346E7">
      <w:pPr>
        <w:pStyle w:val="Caption"/>
        <w:rPr>
          <w:rFonts w:eastAsia="Cambria"/>
          <w:bCs/>
          <w:sz w:val="24"/>
          <w:szCs w:val="24"/>
        </w:rPr>
      </w:pPr>
      <w:r>
        <w:rPr>
          <w:rFonts w:eastAsia="Cambria"/>
          <w:bCs/>
          <w:sz w:val="24"/>
          <w:szCs w:val="24"/>
          <w:lang w:eastAsia="lv-LV"/>
        </w:rPr>
        <w:t>3.</w:t>
      </w:r>
      <w:r w:rsidR="00367DDE">
        <w:rPr>
          <w:rFonts w:eastAsia="Cambria"/>
          <w:bCs/>
          <w:sz w:val="24"/>
          <w:szCs w:val="24"/>
          <w:lang w:eastAsia="lv-LV"/>
        </w:rPr>
        <w:t>27</w:t>
      </w:r>
      <w:r w:rsidR="00D346E7" w:rsidRPr="00D346E7">
        <w:rPr>
          <w:rFonts w:eastAsia="Cambria"/>
          <w:bCs/>
          <w:sz w:val="24"/>
          <w:szCs w:val="24"/>
          <w:lang w:eastAsia="lv-LV"/>
        </w:rPr>
        <w:t>. attēls.</w:t>
      </w:r>
      <w:r w:rsidR="00857535">
        <w:rPr>
          <w:rFonts w:eastAsia="Cambria"/>
          <w:bCs/>
          <w:sz w:val="24"/>
          <w:szCs w:val="24"/>
          <w:lang w:eastAsia="lv-LV"/>
        </w:rPr>
        <w:t xml:space="preserve"> </w:t>
      </w:r>
      <w:r w:rsidR="00D346E7" w:rsidRPr="00D346E7">
        <w:rPr>
          <w:rFonts w:eastAsia="Cambria"/>
          <w:bCs/>
          <w:sz w:val="24"/>
          <w:szCs w:val="24"/>
        </w:rPr>
        <w:t>Transporta sektora SEG emisijas 2005.-2030.gadā (NEKP pasākumu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6460311A" w14:textId="77777777" w:rsidR="0005602B" w:rsidRDefault="0005602B" w:rsidP="007E4B68">
      <w:pPr>
        <w:pStyle w:val="Heading31"/>
        <w:spacing w:before="120"/>
        <w:jc w:val="both"/>
        <w:rPr>
          <w:rStyle w:val="normaltextrun"/>
          <w:rFonts w:ascii="Times New Roman" w:hAnsi="Times New Roman"/>
          <w:sz w:val="24"/>
          <w:szCs w:val="24"/>
          <w:lang w:val="lv-LV"/>
        </w:rPr>
      </w:pPr>
      <w:bookmarkStart w:id="142" w:name="_Toc147389941"/>
      <w:bookmarkStart w:id="143" w:name="_Toc147392422"/>
      <w:bookmarkStart w:id="144" w:name="_Toc147394722"/>
      <w:bookmarkStart w:id="145" w:name="_Toc148528059"/>
      <w:bookmarkStart w:id="146" w:name="_Toc149143815"/>
      <w:bookmarkStart w:id="147" w:name="_Toc149905930"/>
      <w:bookmarkStart w:id="148" w:name="_Toc149906163"/>
      <w:bookmarkStart w:id="149" w:name="_Toc150357194"/>
      <w:bookmarkStart w:id="150" w:name="_Toc151106398"/>
    </w:p>
    <w:p w14:paraId="6DBE1AF5" w14:textId="77777777" w:rsidR="00887037" w:rsidRPr="00887037" w:rsidRDefault="00887037" w:rsidP="00887037">
      <w:pPr>
        <w:rPr>
          <w:lang w:eastAsia="en-GB"/>
        </w:rPr>
      </w:pPr>
    </w:p>
    <w:p w14:paraId="5948A6F5" w14:textId="77777777" w:rsidR="007E4B68" w:rsidRPr="007A6B93" w:rsidRDefault="007E4B68" w:rsidP="007E4B68">
      <w:pPr>
        <w:pStyle w:val="Heading31"/>
        <w:spacing w:before="120"/>
        <w:jc w:val="both"/>
        <w:rPr>
          <w:rFonts w:ascii="Times New Roman" w:hAnsi="Times New Roman"/>
          <w:sz w:val="24"/>
          <w:szCs w:val="24"/>
          <w:lang w:val="lv-LV"/>
        </w:rPr>
      </w:pPr>
      <w:bookmarkStart w:id="151" w:name="_Toc169602249"/>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4</w:t>
      </w:r>
      <w:r w:rsidRPr="007A6B93">
        <w:rPr>
          <w:rStyle w:val="normaltextrun"/>
          <w:rFonts w:ascii="Times New Roman" w:hAnsi="Times New Roman"/>
          <w:sz w:val="24"/>
          <w:szCs w:val="24"/>
          <w:lang w:val="lv-LV"/>
        </w:rPr>
        <w:t xml:space="preserve">. </w:t>
      </w:r>
      <w:r w:rsidRPr="007E4B68">
        <w:rPr>
          <w:rStyle w:val="normaltextrun"/>
          <w:rFonts w:ascii="Times New Roman" w:hAnsi="Times New Roman"/>
          <w:sz w:val="24"/>
          <w:szCs w:val="24"/>
          <w:lang w:val="lv-LV"/>
        </w:rPr>
        <w:t>Lauksaimniecība</w:t>
      </w:r>
      <w:bookmarkEnd w:id="151"/>
      <w:r w:rsidRPr="007A6B93">
        <w:rPr>
          <w:rStyle w:val="eop"/>
          <w:rFonts w:ascii="Times New Roman" w:hAnsi="Times New Roman"/>
          <w:sz w:val="24"/>
          <w:szCs w:val="24"/>
          <w:lang w:val="lv-LV"/>
        </w:rPr>
        <w:t> </w:t>
      </w:r>
    </w:p>
    <w:bookmarkEnd w:id="142"/>
    <w:bookmarkEnd w:id="143"/>
    <w:bookmarkEnd w:id="144"/>
    <w:bookmarkEnd w:id="145"/>
    <w:bookmarkEnd w:id="146"/>
    <w:bookmarkEnd w:id="147"/>
    <w:bookmarkEnd w:id="148"/>
    <w:bookmarkEnd w:id="149"/>
    <w:bookmarkEnd w:id="150"/>
    <w:p w14:paraId="5339F027"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NEKP pasākumu scenārijā lauksaimniecības sektorā 2030. gadā SEG emisijas pieaugs par 0,4%, salīdzinot ar 2005. gadu</w:t>
      </w:r>
      <w:r w:rsidR="0005602B">
        <w:rPr>
          <w:rFonts w:eastAsia="Cambria" w:cs="Times New Roman"/>
          <w:szCs w:val="24"/>
        </w:rPr>
        <w:t xml:space="preserve"> </w:t>
      </w:r>
      <w:r w:rsidR="0005602B" w:rsidRPr="00D346E7">
        <w:rPr>
          <w:rFonts w:eastAsia="Cambria" w:cs="Times New Roman"/>
          <w:szCs w:val="24"/>
        </w:rPr>
        <w:t>(skat</w:t>
      </w:r>
      <w:r w:rsidR="0005602B">
        <w:rPr>
          <w:rFonts w:eastAsia="Cambria" w:cs="Times New Roman"/>
          <w:szCs w:val="24"/>
        </w:rPr>
        <w:t>.</w:t>
      </w:r>
      <w:r w:rsidR="0005602B" w:rsidRPr="00D346E7">
        <w:rPr>
          <w:rFonts w:eastAsia="Cambria" w:cs="Times New Roman"/>
          <w:szCs w:val="24"/>
        </w:rPr>
        <w:t xml:space="preserve"> </w:t>
      </w:r>
      <w:r w:rsidR="0005602B">
        <w:rPr>
          <w:rFonts w:eastAsia="Cambria" w:cs="Times New Roman"/>
          <w:szCs w:val="24"/>
        </w:rPr>
        <w:t>3.</w:t>
      </w:r>
      <w:r w:rsidR="00367DDE">
        <w:rPr>
          <w:rFonts w:eastAsia="Cambria" w:cs="Times New Roman"/>
          <w:szCs w:val="24"/>
        </w:rPr>
        <w:t>28</w:t>
      </w:r>
      <w:r w:rsidR="0005602B">
        <w:rPr>
          <w:rFonts w:eastAsia="Cambria" w:cs="Times New Roman"/>
          <w:szCs w:val="24"/>
        </w:rPr>
        <w:t>. </w:t>
      </w:r>
      <w:r w:rsidR="0005602B" w:rsidRPr="00D346E7">
        <w:rPr>
          <w:rFonts w:eastAsia="Cambria" w:cs="Times New Roman"/>
          <w:szCs w:val="24"/>
        </w:rPr>
        <w:t>att</w:t>
      </w:r>
      <w:r w:rsidR="0005602B">
        <w:rPr>
          <w:rFonts w:eastAsia="Cambria" w:cs="Times New Roman"/>
          <w:szCs w:val="24"/>
        </w:rPr>
        <w:t>.</w:t>
      </w:r>
      <w:r w:rsidR="0005602B" w:rsidRPr="00D346E7">
        <w:rPr>
          <w:rFonts w:eastAsia="Cambria" w:cs="Times New Roman"/>
          <w:szCs w:val="24"/>
        </w:rPr>
        <w:t>)</w:t>
      </w:r>
      <w:r w:rsidRPr="00D346E7">
        <w:rPr>
          <w:rFonts w:eastAsia="Cambria" w:cs="Times New Roman"/>
          <w:szCs w:val="24"/>
        </w:rPr>
        <w:t xml:space="preserve">. NEKP pasākuma scenārijā ir 18,0% samazinājums, salīdzinot ar Bāzes scenāriju. </w:t>
      </w:r>
    </w:p>
    <w:p w14:paraId="70BED843" w14:textId="0B5D3E86"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2591E0B5" wp14:editId="6104AC92">
            <wp:extent cx="4057650" cy="2276475"/>
            <wp:effectExtent l="0" t="0" r="0" b="9525"/>
            <wp:docPr id="29" name="Picture 129273274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732741" descr="A graph with numbers and tex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57650" cy="2276475"/>
                    </a:xfrm>
                    <a:prstGeom prst="rect">
                      <a:avLst/>
                    </a:prstGeom>
                    <a:noFill/>
                    <a:ln>
                      <a:noFill/>
                    </a:ln>
                  </pic:spPr>
                </pic:pic>
              </a:graphicData>
            </a:graphic>
          </wp:inline>
        </w:drawing>
      </w:r>
    </w:p>
    <w:p w14:paraId="647B8935" w14:textId="05061680" w:rsidR="00D346E7" w:rsidRPr="00D346E7" w:rsidRDefault="0005602B" w:rsidP="00D346E7">
      <w:pPr>
        <w:pStyle w:val="Caption"/>
        <w:rPr>
          <w:rFonts w:eastAsia="Cambria"/>
          <w:sz w:val="24"/>
          <w:szCs w:val="24"/>
        </w:rPr>
      </w:pPr>
      <w:r>
        <w:rPr>
          <w:rFonts w:eastAsia="Cambria"/>
          <w:bCs/>
          <w:sz w:val="24"/>
          <w:szCs w:val="24"/>
          <w:lang w:eastAsia="lv-LV"/>
        </w:rPr>
        <w:t>3.</w:t>
      </w:r>
      <w:r w:rsidR="00367DDE">
        <w:rPr>
          <w:rFonts w:eastAsia="Cambria"/>
          <w:bCs/>
          <w:sz w:val="24"/>
          <w:szCs w:val="24"/>
          <w:lang w:eastAsia="lv-LV"/>
        </w:rPr>
        <w:t>28</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Lauksaimniecības sektora SEG emisijas 2005.-2030.gadā (NEKP pasākumu scenārijs) (kt</w:t>
      </w:r>
      <w:r w:rsidR="00D346E7" w:rsidRPr="00D346E7">
        <w:rPr>
          <w:rFonts w:eastAsia="Cambria"/>
          <w:sz w:val="24"/>
          <w:szCs w:val="24"/>
        </w:rPr>
        <w:t xml:space="preserve"> CO</w:t>
      </w:r>
      <w:r w:rsidR="00D346E7" w:rsidRPr="00D346E7">
        <w:rPr>
          <w:rFonts w:eastAsia="Cambria"/>
          <w:sz w:val="24"/>
          <w:szCs w:val="24"/>
          <w:vertAlign w:val="subscript"/>
        </w:rPr>
        <w:t>2</w:t>
      </w:r>
      <w:r w:rsidR="00D346E7" w:rsidRPr="00D346E7">
        <w:rPr>
          <w:rFonts w:eastAsia="Cambria"/>
          <w:sz w:val="24"/>
          <w:szCs w:val="24"/>
        </w:rPr>
        <w:t xml:space="preserve"> ekv.)</w:t>
      </w:r>
    </w:p>
    <w:p w14:paraId="724BB4A8" w14:textId="77777777" w:rsidR="007E4B68" w:rsidRDefault="007E4B68" w:rsidP="00D346E7">
      <w:pPr>
        <w:pStyle w:val="Heading2"/>
        <w:keepLines/>
        <w:numPr>
          <w:ilvl w:val="1"/>
          <w:numId w:val="0"/>
        </w:numPr>
        <w:spacing w:before="120" w:after="120"/>
        <w:ind w:left="340" w:hanging="340"/>
        <w:rPr>
          <w:rFonts w:ascii="Times New Roman" w:hAnsi="Times New Roman"/>
          <w:sz w:val="24"/>
          <w:szCs w:val="24"/>
        </w:rPr>
      </w:pPr>
      <w:bookmarkStart w:id="152" w:name="_Toc147389943"/>
      <w:bookmarkStart w:id="153" w:name="_Toc147392424"/>
      <w:bookmarkStart w:id="154" w:name="_Toc147394724"/>
      <w:bookmarkStart w:id="155" w:name="_Toc148528061"/>
      <w:bookmarkStart w:id="156" w:name="_Toc149143817"/>
      <w:bookmarkStart w:id="157" w:name="_Toc149905932"/>
      <w:bookmarkStart w:id="158" w:name="_Toc149906165"/>
      <w:bookmarkStart w:id="159" w:name="_Toc150357196"/>
      <w:bookmarkStart w:id="160" w:name="_Toc151106400"/>
    </w:p>
    <w:p w14:paraId="5D5E7B47" w14:textId="77777777" w:rsidR="0005602B" w:rsidRPr="0005602B" w:rsidRDefault="0005602B" w:rsidP="0005602B">
      <w:pPr>
        <w:jc w:val="both"/>
        <w:rPr>
          <w:lang w:val="en-GB" w:eastAsia="en-GB"/>
        </w:rPr>
      </w:pPr>
      <w:r w:rsidRPr="00D346E7">
        <w:rPr>
          <w:rFonts w:eastAsia="Cambria" w:cs="Times New Roman"/>
          <w:szCs w:val="24"/>
        </w:rPr>
        <w:t>Mazākais emisijas samazinājums ir attiecināms uz CH</w:t>
      </w:r>
      <w:r w:rsidRPr="00D346E7">
        <w:rPr>
          <w:rFonts w:eastAsia="Cambria" w:cs="Times New Roman"/>
          <w:szCs w:val="24"/>
          <w:vertAlign w:val="subscript"/>
        </w:rPr>
        <w:t>4</w:t>
      </w:r>
      <w:r w:rsidRPr="00D346E7">
        <w:rPr>
          <w:rFonts w:eastAsia="Cambria" w:cs="Times New Roman"/>
          <w:szCs w:val="24"/>
        </w:rPr>
        <w:t xml:space="preserve"> emisijām. NEKP pasākumu īstenošana šīs emisijas samazinās tikai par 2%. Aktivitātes datu prognozes liecina, ka plānots ievērojami paaugstināt slaucamo govju produktivitāti, palielināt to skaitu intensīvajās saimniecībās ar šķidrmēslu apsaimniekošanas sistēmām, kas ir vienas no augstāko CH</w:t>
      </w:r>
      <w:r w:rsidRPr="00D346E7">
        <w:rPr>
          <w:rFonts w:eastAsia="Cambria" w:cs="Times New Roman"/>
          <w:szCs w:val="24"/>
          <w:vertAlign w:val="subscript"/>
        </w:rPr>
        <w:t>4</w:t>
      </w:r>
      <w:r w:rsidRPr="00D346E7">
        <w:rPr>
          <w:rFonts w:eastAsia="Cambria" w:cs="Times New Roman"/>
          <w:szCs w:val="24"/>
        </w:rPr>
        <w:t xml:space="preserve"> emisiju avotiem. Lai gan ievērojamu emisijas samazinājumu dod pasākums “Veicināt bioloģisko piena lopkopību”, tā īstenošanai nav plānots liels slaucamo govju skaits, tomēr pasākums efektīvi samazina lopkopības nozares emisijas. Pasākumu īstenošanas rezultātā plānots, ka par 37% varētu samazināties N</w:t>
      </w:r>
      <w:r w:rsidRPr="00D346E7">
        <w:rPr>
          <w:rFonts w:eastAsia="Cambria" w:cs="Times New Roman"/>
          <w:szCs w:val="24"/>
          <w:vertAlign w:val="subscript"/>
        </w:rPr>
        <w:t>2</w:t>
      </w:r>
      <w:r w:rsidRPr="00D346E7">
        <w:rPr>
          <w:rFonts w:eastAsia="Cambria" w:cs="Times New Roman"/>
          <w:szCs w:val="24"/>
        </w:rPr>
        <w:t>O emisijas. Būtiskāko efektu šīs emisijas samazināšanā sniedz pasākums “Veicināt pākšaugu iekļaušanu augsekā slāpekļa piesaistei”, kā arī “Veicināt un atbalstīt precīzas neorganiskā slāpekļa mēslošanas līdzekļu lietošanu”.</w:t>
      </w:r>
    </w:p>
    <w:p w14:paraId="0CAC4284" w14:textId="77777777" w:rsidR="0005602B" w:rsidRDefault="0005602B" w:rsidP="007E4B68">
      <w:pPr>
        <w:pStyle w:val="Heading31"/>
        <w:spacing w:before="120"/>
        <w:jc w:val="both"/>
        <w:rPr>
          <w:rStyle w:val="normaltextrun"/>
          <w:rFonts w:ascii="Times New Roman" w:hAnsi="Times New Roman"/>
          <w:sz w:val="24"/>
          <w:szCs w:val="24"/>
          <w:lang w:val="lv-LV"/>
        </w:rPr>
      </w:pPr>
    </w:p>
    <w:p w14:paraId="54D5C0E0" w14:textId="77777777" w:rsidR="00887037" w:rsidRDefault="00887037" w:rsidP="00887037">
      <w:pPr>
        <w:rPr>
          <w:lang w:eastAsia="en-GB"/>
        </w:rPr>
      </w:pPr>
    </w:p>
    <w:p w14:paraId="275537CE" w14:textId="77777777" w:rsidR="00887037" w:rsidRPr="00887037" w:rsidRDefault="00887037" w:rsidP="00887037">
      <w:pPr>
        <w:rPr>
          <w:lang w:eastAsia="en-GB"/>
        </w:rPr>
      </w:pPr>
    </w:p>
    <w:p w14:paraId="47806EC3" w14:textId="77777777" w:rsidR="007E4B68" w:rsidRPr="007A6B93" w:rsidRDefault="007E4B68" w:rsidP="007E4B68">
      <w:pPr>
        <w:pStyle w:val="Heading31"/>
        <w:spacing w:before="120"/>
        <w:jc w:val="both"/>
        <w:rPr>
          <w:rFonts w:ascii="Times New Roman" w:hAnsi="Times New Roman"/>
          <w:sz w:val="24"/>
          <w:szCs w:val="24"/>
          <w:lang w:val="lv-LV"/>
        </w:rPr>
      </w:pPr>
      <w:bookmarkStart w:id="161" w:name="_Toc169602250"/>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5</w:t>
      </w:r>
      <w:r w:rsidRPr="007A6B93">
        <w:rPr>
          <w:rStyle w:val="normaltextrun"/>
          <w:rFonts w:ascii="Times New Roman" w:hAnsi="Times New Roman"/>
          <w:sz w:val="24"/>
          <w:szCs w:val="24"/>
          <w:lang w:val="lv-LV"/>
        </w:rPr>
        <w:t xml:space="preserve">. </w:t>
      </w:r>
      <w:r w:rsidRPr="007E4B68">
        <w:rPr>
          <w:rStyle w:val="normaltextrun"/>
          <w:rFonts w:ascii="Times New Roman" w:hAnsi="Times New Roman"/>
          <w:sz w:val="24"/>
          <w:szCs w:val="24"/>
          <w:lang w:val="lv-LV"/>
        </w:rPr>
        <w:t>Atkritumu apsaimniekošana</w:t>
      </w:r>
      <w:bookmarkEnd w:id="161"/>
      <w:r w:rsidRPr="007A6B93">
        <w:rPr>
          <w:rStyle w:val="eop"/>
          <w:rFonts w:ascii="Times New Roman" w:hAnsi="Times New Roman"/>
          <w:sz w:val="24"/>
          <w:szCs w:val="24"/>
          <w:lang w:val="lv-LV"/>
        </w:rPr>
        <w:t> </w:t>
      </w:r>
    </w:p>
    <w:bookmarkEnd w:id="152"/>
    <w:bookmarkEnd w:id="153"/>
    <w:bookmarkEnd w:id="154"/>
    <w:bookmarkEnd w:id="155"/>
    <w:bookmarkEnd w:id="156"/>
    <w:bookmarkEnd w:id="157"/>
    <w:bookmarkEnd w:id="158"/>
    <w:bookmarkEnd w:id="159"/>
    <w:bookmarkEnd w:id="160"/>
    <w:p w14:paraId="2525FA25"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Pasākumu scenārijā tiek iekļauta ietekme no sekojošie pasākumiem:</w:t>
      </w:r>
    </w:p>
    <w:p w14:paraId="3CFA25F9" w14:textId="77777777" w:rsidR="00D346E7" w:rsidRPr="00D346E7" w:rsidRDefault="00D346E7" w:rsidP="00B71063">
      <w:pPr>
        <w:pStyle w:val="ListParagraph"/>
        <w:numPr>
          <w:ilvl w:val="0"/>
          <w:numId w:val="37"/>
        </w:numPr>
        <w:spacing w:before="120" w:after="120"/>
        <w:ind w:left="426"/>
        <w:contextualSpacing/>
        <w:jc w:val="both"/>
        <w:rPr>
          <w:rFonts w:eastAsia="Cambria" w:cs="Times New Roman"/>
          <w:szCs w:val="24"/>
        </w:rPr>
      </w:pPr>
      <w:r w:rsidRPr="00D346E7">
        <w:rPr>
          <w:rFonts w:eastAsia="Cambria" w:cs="Times New Roman"/>
          <w:szCs w:val="24"/>
        </w:rPr>
        <w:t>Palielināta bioloģisko atkritumu sagatavošana pārstrādei (līdz 210 000 t gadā);</w:t>
      </w:r>
    </w:p>
    <w:p w14:paraId="638F94B3" w14:textId="77777777" w:rsidR="00D346E7" w:rsidRPr="00D346E7" w:rsidRDefault="00D346E7" w:rsidP="00B71063">
      <w:pPr>
        <w:pStyle w:val="ListParagraph"/>
        <w:numPr>
          <w:ilvl w:val="0"/>
          <w:numId w:val="37"/>
        </w:numPr>
        <w:spacing w:before="120" w:after="120"/>
        <w:ind w:left="426"/>
        <w:contextualSpacing/>
        <w:jc w:val="both"/>
        <w:rPr>
          <w:rFonts w:eastAsia="Cambria" w:cs="Times New Roman"/>
          <w:szCs w:val="24"/>
        </w:rPr>
      </w:pPr>
      <w:r w:rsidRPr="00D346E7">
        <w:rPr>
          <w:rFonts w:eastAsia="Cambria" w:cs="Times New Roman"/>
          <w:szCs w:val="24"/>
        </w:rPr>
        <w:t>Palielināta bioloģisko atkritumu pārstrāde (līdz 110 000 t gadā).</w:t>
      </w:r>
    </w:p>
    <w:p w14:paraId="16488FAA" w14:textId="77777777" w:rsidR="00D346E7" w:rsidRPr="00D346E7" w:rsidRDefault="00D346E7" w:rsidP="00B71063">
      <w:pPr>
        <w:pStyle w:val="ListParagraph"/>
        <w:numPr>
          <w:ilvl w:val="0"/>
          <w:numId w:val="36"/>
        </w:numPr>
        <w:spacing w:before="120" w:after="120"/>
        <w:ind w:left="426"/>
        <w:contextualSpacing/>
        <w:jc w:val="both"/>
        <w:rPr>
          <w:rFonts w:eastAsia="Cambria" w:cs="Times New Roman"/>
          <w:szCs w:val="24"/>
        </w:rPr>
      </w:pPr>
      <w:r w:rsidRPr="00D346E7">
        <w:rPr>
          <w:rFonts w:eastAsia="Cambria" w:cs="Times New Roman"/>
          <w:szCs w:val="24"/>
        </w:rPr>
        <w:t>Palielināta no atkritumiem iegūtā kurināmā (NAIK) sagatavošana (līdz 130 000 t gadā).</w:t>
      </w:r>
    </w:p>
    <w:p w14:paraId="78BC312A" w14:textId="77777777" w:rsidR="00D346E7" w:rsidRPr="00D346E7" w:rsidRDefault="00D346E7" w:rsidP="00B71063">
      <w:pPr>
        <w:pStyle w:val="ListParagraph"/>
        <w:numPr>
          <w:ilvl w:val="0"/>
          <w:numId w:val="36"/>
        </w:numPr>
        <w:spacing w:before="120" w:after="120"/>
        <w:ind w:left="426"/>
        <w:contextualSpacing/>
        <w:jc w:val="both"/>
        <w:rPr>
          <w:rFonts w:eastAsia="Cambria" w:cs="Times New Roman"/>
          <w:szCs w:val="24"/>
        </w:rPr>
      </w:pPr>
      <w:r w:rsidRPr="00D346E7">
        <w:rPr>
          <w:rFonts w:eastAsia="Cambria" w:cs="Times New Roman"/>
          <w:szCs w:val="24"/>
        </w:rPr>
        <w:t>Poligonos apglabātais sadzīves atkritumu daudzums (% no radītā sadzīves atkritumu daudzuma) 10% uz 2035. gadu;</w:t>
      </w:r>
    </w:p>
    <w:p w14:paraId="66B7123D" w14:textId="77777777" w:rsidR="00D346E7" w:rsidRPr="00D346E7" w:rsidRDefault="00D346E7" w:rsidP="00B71063">
      <w:pPr>
        <w:pStyle w:val="ListParagraph"/>
        <w:numPr>
          <w:ilvl w:val="0"/>
          <w:numId w:val="36"/>
        </w:numPr>
        <w:spacing w:before="120" w:after="120"/>
        <w:ind w:left="426"/>
        <w:contextualSpacing/>
        <w:jc w:val="both"/>
        <w:rPr>
          <w:rFonts w:eastAsia="Cambria" w:cs="Times New Roman"/>
          <w:szCs w:val="24"/>
        </w:rPr>
      </w:pPr>
      <w:r w:rsidRPr="00D346E7">
        <w:rPr>
          <w:rFonts w:eastAsia="Cambria" w:cs="Times New Roman"/>
          <w:szCs w:val="24"/>
        </w:rPr>
        <w:t xml:space="preserve">Ne vēlāk kā 2027. gadā ir nodrošināta visu saražoto notekūdeņu dūņu atbilstoša apsaimniekošana. </w:t>
      </w:r>
      <w:r w:rsidRPr="00D346E7">
        <w:rPr>
          <w:rFonts w:cs="Times New Roman"/>
          <w:szCs w:val="24"/>
        </w:rPr>
        <w:t>Tomēr jāņem vērā, ka būtiska nozīme pasākuma īstenošanā ir notekūdeņu dūņu apsaimniekošanas stratēģijas ieviešanai, kas plānota, sākot ar 2025., 2026. gadu.</w:t>
      </w:r>
    </w:p>
    <w:p w14:paraId="1843A347"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 xml:space="preserve">NEKP pasākumu scenārijā atkritumu apsaimniekošanas sektors </w:t>
      </w:r>
      <w:r w:rsidR="0005602B" w:rsidRPr="00D346E7">
        <w:rPr>
          <w:rFonts w:eastAsia="Cambria" w:cs="Times New Roman"/>
          <w:szCs w:val="24"/>
        </w:rPr>
        <w:t>(skat</w:t>
      </w:r>
      <w:r w:rsidR="0005602B">
        <w:rPr>
          <w:rFonts w:eastAsia="Cambria" w:cs="Times New Roman"/>
          <w:szCs w:val="24"/>
        </w:rPr>
        <w:t>.</w:t>
      </w:r>
      <w:r w:rsidR="0005602B" w:rsidRPr="00D346E7">
        <w:rPr>
          <w:rFonts w:eastAsia="Cambria" w:cs="Times New Roman"/>
          <w:szCs w:val="24"/>
        </w:rPr>
        <w:t xml:space="preserve"> </w:t>
      </w:r>
      <w:r w:rsidR="0005602B">
        <w:rPr>
          <w:rFonts w:eastAsia="Cambria" w:cs="Times New Roman"/>
          <w:szCs w:val="24"/>
        </w:rPr>
        <w:t>3.2</w:t>
      </w:r>
      <w:r w:rsidR="00367DDE">
        <w:rPr>
          <w:rFonts w:eastAsia="Cambria" w:cs="Times New Roman"/>
          <w:szCs w:val="24"/>
        </w:rPr>
        <w:t>9</w:t>
      </w:r>
      <w:r w:rsidR="0005602B">
        <w:rPr>
          <w:rFonts w:eastAsia="Cambria" w:cs="Times New Roman"/>
          <w:szCs w:val="24"/>
        </w:rPr>
        <w:t>. </w:t>
      </w:r>
      <w:r w:rsidR="0005602B" w:rsidRPr="00D346E7">
        <w:rPr>
          <w:rFonts w:eastAsia="Cambria" w:cs="Times New Roman"/>
          <w:szCs w:val="24"/>
        </w:rPr>
        <w:t>att</w:t>
      </w:r>
      <w:r w:rsidR="0005602B">
        <w:rPr>
          <w:rFonts w:eastAsia="Cambria" w:cs="Times New Roman"/>
          <w:szCs w:val="24"/>
        </w:rPr>
        <w:t>.</w:t>
      </w:r>
      <w:r w:rsidR="0005602B" w:rsidRPr="00D346E7">
        <w:rPr>
          <w:rFonts w:eastAsia="Cambria" w:cs="Times New Roman"/>
          <w:szCs w:val="24"/>
        </w:rPr>
        <w:t>)</w:t>
      </w:r>
      <w:r w:rsidR="0005602B">
        <w:rPr>
          <w:rFonts w:eastAsia="Cambria" w:cs="Times New Roman"/>
          <w:szCs w:val="24"/>
        </w:rPr>
        <w:t xml:space="preserve"> </w:t>
      </w:r>
      <w:r w:rsidRPr="00D346E7">
        <w:rPr>
          <w:rFonts w:eastAsia="Cambria" w:cs="Times New Roman"/>
          <w:szCs w:val="24"/>
        </w:rPr>
        <w:t>2030.</w:t>
      </w:r>
      <w:r w:rsidR="0005602B">
        <w:rPr>
          <w:rFonts w:eastAsia="Cambria" w:cs="Times New Roman"/>
          <w:szCs w:val="24"/>
        </w:rPr>
        <w:t> </w:t>
      </w:r>
      <w:r w:rsidRPr="00D346E7">
        <w:rPr>
          <w:rFonts w:eastAsia="Cambria" w:cs="Times New Roman"/>
          <w:szCs w:val="24"/>
        </w:rPr>
        <w:t>gadā samazinās SEG emisijas par 39,5%, salīdzinot ar 2005. gadu. Savukārt, NEKP pasākuma scenārijā ir 0,8% samazinājums, salīdzinot ar Bāzes scenāriju.</w:t>
      </w:r>
    </w:p>
    <w:p w14:paraId="75DB8A98" w14:textId="33C0553C"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68664BCE" wp14:editId="537467D6">
            <wp:extent cx="3943350" cy="2190750"/>
            <wp:effectExtent l="0" t="0" r="0" b="0"/>
            <wp:docPr id="30" name="Picture 109645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4563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43350" cy="2190750"/>
                    </a:xfrm>
                    <a:prstGeom prst="rect">
                      <a:avLst/>
                    </a:prstGeom>
                    <a:noFill/>
                    <a:ln>
                      <a:noFill/>
                    </a:ln>
                  </pic:spPr>
                </pic:pic>
              </a:graphicData>
            </a:graphic>
          </wp:inline>
        </w:drawing>
      </w:r>
    </w:p>
    <w:p w14:paraId="0260E514" w14:textId="1164E36A" w:rsidR="00D346E7" w:rsidRPr="00D346E7" w:rsidRDefault="00D346E7" w:rsidP="00D346E7">
      <w:pPr>
        <w:pStyle w:val="Caption"/>
        <w:rPr>
          <w:rFonts w:eastAsia="Cambria"/>
          <w:sz w:val="24"/>
          <w:szCs w:val="24"/>
        </w:rPr>
      </w:pPr>
      <w:r w:rsidRPr="00D346E7">
        <w:rPr>
          <w:rFonts w:eastAsia="Cambria"/>
          <w:sz w:val="24"/>
          <w:szCs w:val="24"/>
          <w:lang w:eastAsia="lv-LV"/>
        </w:rPr>
        <w:t xml:space="preserve"> 2</w:t>
      </w:r>
      <w:r w:rsidR="00367DDE">
        <w:rPr>
          <w:rFonts w:eastAsia="Cambria"/>
          <w:sz w:val="24"/>
          <w:szCs w:val="24"/>
          <w:lang w:eastAsia="lv-LV"/>
        </w:rPr>
        <w:t>9</w:t>
      </w:r>
      <w:r w:rsidRPr="00D346E7">
        <w:rPr>
          <w:rFonts w:eastAsia="Cambria"/>
          <w:sz w:val="24"/>
          <w:szCs w:val="24"/>
          <w:lang w:eastAsia="lv-LV"/>
        </w:rPr>
        <w:t>.attēls.</w:t>
      </w:r>
      <w:r w:rsidR="00857535">
        <w:rPr>
          <w:rFonts w:eastAsia="Cambria"/>
          <w:sz w:val="24"/>
          <w:szCs w:val="24"/>
          <w:lang w:eastAsia="lv-LV"/>
        </w:rPr>
        <w:t xml:space="preserve"> </w:t>
      </w:r>
      <w:r w:rsidRPr="00D346E7">
        <w:rPr>
          <w:rFonts w:eastAsia="Cambria"/>
          <w:sz w:val="24"/>
          <w:szCs w:val="24"/>
        </w:rPr>
        <w:t>Atkritumu apsaimniekošanas sektora SEG emisijas 2005. - 2030. gadā (NEKP pasākumu</w:t>
      </w:r>
      <w:r w:rsidR="00857535">
        <w:rPr>
          <w:rFonts w:eastAsia="Cambria"/>
          <w:sz w:val="24"/>
          <w:szCs w:val="24"/>
        </w:rPr>
        <w:t xml:space="preserve"> </w:t>
      </w:r>
      <w:r w:rsidRPr="00D346E7">
        <w:rPr>
          <w:rFonts w:eastAsia="Cambria"/>
          <w:sz w:val="24"/>
          <w:szCs w:val="24"/>
        </w:rPr>
        <w:t>scenārijs) (kt CO</w:t>
      </w:r>
      <w:r w:rsidRPr="00D346E7">
        <w:rPr>
          <w:rFonts w:eastAsia="Cambria"/>
          <w:sz w:val="24"/>
          <w:szCs w:val="24"/>
          <w:vertAlign w:val="subscript"/>
        </w:rPr>
        <w:t>2</w:t>
      </w:r>
      <w:r w:rsidRPr="00D346E7">
        <w:rPr>
          <w:rFonts w:eastAsia="Cambria"/>
          <w:sz w:val="24"/>
          <w:szCs w:val="24"/>
        </w:rPr>
        <w:t xml:space="preserve"> ekv.)</w:t>
      </w:r>
    </w:p>
    <w:p w14:paraId="5A40ED7B" w14:textId="77777777" w:rsidR="007E4B68" w:rsidRDefault="007E4B68" w:rsidP="00D346E7">
      <w:pPr>
        <w:pStyle w:val="Heading2"/>
        <w:keepLines/>
        <w:numPr>
          <w:ilvl w:val="1"/>
          <w:numId w:val="0"/>
        </w:numPr>
        <w:spacing w:before="120" w:after="120"/>
        <w:ind w:left="340" w:hanging="340"/>
        <w:rPr>
          <w:rFonts w:ascii="Times New Roman" w:hAnsi="Times New Roman"/>
          <w:sz w:val="24"/>
          <w:szCs w:val="24"/>
        </w:rPr>
      </w:pPr>
      <w:bookmarkStart w:id="162" w:name="_Toc147389944"/>
      <w:bookmarkStart w:id="163" w:name="_Toc147392425"/>
      <w:bookmarkStart w:id="164" w:name="_Toc147394725"/>
      <w:bookmarkStart w:id="165" w:name="_Toc148528062"/>
      <w:bookmarkStart w:id="166" w:name="_Toc149143818"/>
      <w:bookmarkStart w:id="167" w:name="_Toc149905933"/>
      <w:bookmarkStart w:id="168" w:name="_Toc149906166"/>
      <w:bookmarkStart w:id="169" w:name="_Toc150357197"/>
      <w:bookmarkStart w:id="170" w:name="_Toc151106401"/>
    </w:p>
    <w:p w14:paraId="0B4A98EE" w14:textId="77777777" w:rsidR="00887037" w:rsidRDefault="00887037" w:rsidP="00887037">
      <w:pPr>
        <w:rPr>
          <w:lang w:val="en-GB" w:eastAsia="en-GB"/>
        </w:rPr>
      </w:pPr>
    </w:p>
    <w:p w14:paraId="47D993B0" w14:textId="77777777" w:rsidR="00887037" w:rsidRPr="00887037" w:rsidRDefault="00887037" w:rsidP="00887037">
      <w:pPr>
        <w:rPr>
          <w:lang w:val="en-GB" w:eastAsia="en-GB"/>
        </w:rPr>
      </w:pPr>
    </w:p>
    <w:p w14:paraId="07E370E4" w14:textId="77777777" w:rsidR="007E4B68" w:rsidRPr="007A6B93" w:rsidRDefault="007E4B68" w:rsidP="007E4B68">
      <w:pPr>
        <w:pStyle w:val="Heading31"/>
        <w:spacing w:before="120"/>
        <w:jc w:val="both"/>
        <w:rPr>
          <w:rFonts w:ascii="Times New Roman" w:hAnsi="Times New Roman"/>
          <w:sz w:val="24"/>
          <w:szCs w:val="24"/>
          <w:lang w:val="lv-LV"/>
        </w:rPr>
      </w:pPr>
      <w:bookmarkStart w:id="171" w:name="_Toc169602251"/>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6</w:t>
      </w:r>
      <w:r w:rsidRPr="007A6B93">
        <w:rPr>
          <w:rStyle w:val="normaltextrun"/>
          <w:rFonts w:ascii="Times New Roman" w:hAnsi="Times New Roman"/>
          <w:sz w:val="24"/>
          <w:szCs w:val="24"/>
          <w:lang w:val="lv-LV"/>
        </w:rPr>
        <w:t xml:space="preserve">. </w:t>
      </w:r>
      <w:r w:rsidRPr="007E4B68">
        <w:rPr>
          <w:rStyle w:val="normaltextrun"/>
          <w:rFonts w:ascii="Times New Roman" w:hAnsi="Times New Roman"/>
          <w:sz w:val="24"/>
          <w:szCs w:val="24"/>
          <w:lang w:val="lv-LV"/>
        </w:rPr>
        <w:t>ZIZIMM sektors</w:t>
      </w:r>
      <w:bookmarkEnd w:id="171"/>
      <w:r w:rsidRPr="007A6B93">
        <w:rPr>
          <w:rStyle w:val="eop"/>
          <w:rFonts w:ascii="Times New Roman" w:hAnsi="Times New Roman"/>
          <w:sz w:val="24"/>
          <w:szCs w:val="24"/>
          <w:lang w:val="lv-LV"/>
        </w:rPr>
        <w:t> </w:t>
      </w:r>
    </w:p>
    <w:bookmarkEnd w:id="162"/>
    <w:bookmarkEnd w:id="163"/>
    <w:bookmarkEnd w:id="164"/>
    <w:bookmarkEnd w:id="165"/>
    <w:bookmarkEnd w:id="166"/>
    <w:bookmarkEnd w:id="167"/>
    <w:bookmarkEnd w:id="168"/>
    <w:bookmarkEnd w:id="169"/>
    <w:bookmarkEnd w:id="170"/>
    <w:p w14:paraId="2C6F4335" w14:textId="77777777" w:rsidR="0088703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Klimatneitralitātes mērķa sasniegšanai 2030. un 2050. gadā īstenojami pasākumi, kas nodrošina gan īstermiņa gan ilgtermiņa efektu. Nozīmīgākie pasākumi īstermiņa (2030. gada) mērķu sasniegšanai ir meža mazproduktīvu mežaudžu nomaiņa,</w:t>
      </w:r>
      <w:r w:rsidR="00857535">
        <w:rPr>
          <w:rFonts w:eastAsia="Cambria" w:cs="Times New Roman"/>
          <w:szCs w:val="24"/>
          <w:lang w:eastAsia="lv-LV"/>
        </w:rPr>
        <w:t xml:space="preserve"> </w:t>
      </w:r>
      <w:r w:rsidRPr="00D346E7">
        <w:rPr>
          <w:rFonts w:eastAsia="Cambria" w:cs="Times New Roman"/>
          <w:szCs w:val="24"/>
          <w:lang w:eastAsia="lv-LV"/>
        </w:rPr>
        <w:t>mēslošana ar koksnes pelniem vai minerālmēslojumu un organisko augšņu apmežošana. Minerālmēslojumu (slāpekļa un kompleksu slāpekļa un fosfora mēslojumu) pielieto II-IV bonitātes mežaudzēs sausieņos un āreņos, ienesot mēslojumu pēc katras kopšanas cirtes. Ik gadus mēslojamā platība atkarīga no kopšanas ciršu platības un sadalījuma meža tipos un bonitātēs, vidēji saskaņā ar prognozēm, 4-18 tūkst. ha gadā laika posmā no 2024. līdz 2034. gadam, SEG emisiju samazinājuma potenciāls 2050. gadā šajās platībās -2,0 milj. tonnas CO</w:t>
      </w:r>
      <w:r w:rsidRPr="00D346E7">
        <w:rPr>
          <w:rFonts w:eastAsia="Cambria" w:cs="Times New Roman"/>
          <w:szCs w:val="24"/>
          <w:vertAlign w:val="subscript"/>
          <w:lang w:eastAsia="lv-LV"/>
        </w:rPr>
        <w:t>2</w:t>
      </w:r>
      <w:r w:rsidRPr="00D346E7">
        <w:rPr>
          <w:rFonts w:eastAsia="Cambria" w:cs="Times New Roman"/>
          <w:szCs w:val="24"/>
          <w:lang w:eastAsia="lv-LV"/>
        </w:rPr>
        <w:t>. Koksnes pelnus izmanto kūdreņos (mežos ar meliorētām organiskām augsnēm), kur ar lielu varbūtību vidēja vecuma vai pieaugušās audzēs izpaužas fosfora, kālija un dažkārt arī citu elementu trūkums. Pelnus pielieto pēc kopšanas cirtes un pelnu izmantošanu limitē gan atbilstošu cirsmu pieejamība, gan saražoto pelnu daudzums. Vidēji laika posmā no 2024. līdz 2034. gadam saskaņā ar ZIZIMM mērķa scenārija projektu koksnes pelni izmantojami 4-5 tūkst. ha gadā. SEG emisiju samazinājuma potenciāls šajās platībās līdz 2050. gadam ir 0,8 milj. tonnas CO</w:t>
      </w:r>
      <w:r w:rsidRPr="00D346E7">
        <w:rPr>
          <w:rFonts w:eastAsia="Cambria" w:cs="Times New Roman"/>
          <w:szCs w:val="24"/>
          <w:vertAlign w:val="subscript"/>
          <w:lang w:eastAsia="lv-LV"/>
        </w:rPr>
        <w:t>2</w:t>
      </w:r>
      <w:r w:rsidR="00887037">
        <w:rPr>
          <w:rFonts w:eastAsia="Cambria" w:cs="Times New Roman"/>
          <w:szCs w:val="24"/>
          <w:lang w:eastAsia="lv-LV"/>
        </w:rPr>
        <w:t>.</w:t>
      </w:r>
    </w:p>
    <w:p w14:paraId="3D96F4B9" w14:textId="77777777" w:rsidR="0088703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Visnozīmīgākais klimata pārmaiņu mazināšanas pasākums ZIZIMM sektorā, kas var nodrošināt saistību izpildei izšķirošu efektu, ir mērķtiecīga organisko augšņu apmežošana lauksaimniecībā izmantojamās zemēs. ZIZIMM mērķa scenārija projektā pieņemts, ka laika posmā no 2024. līdz 2029. gadam apmežo 50% no organiskajām augsnēm (80 tūkst. ha), līdz 2050. gadam nodrošinot vismaz 29,2 milj. tonnas CO</w:t>
      </w:r>
      <w:r w:rsidRPr="00D346E7">
        <w:rPr>
          <w:rFonts w:eastAsia="Cambria" w:cs="Times New Roman"/>
          <w:szCs w:val="24"/>
          <w:vertAlign w:val="subscript"/>
          <w:lang w:eastAsia="lv-LV"/>
        </w:rPr>
        <w:t>2</w:t>
      </w:r>
      <w:r w:rsidRPr="00D346E7">
        <w:rPr>
          <w:rFonts w:eastAsia="Cambria" w:cs="Times New Roman"/>
          <w:szCs w:val="24"/>
          <w:lang w:eastAsia="lv-LV"/>
        </w:rPr>
        <w:t xml:space="preserve"> ekv. lielu emisiju samazinājumu,</w:t>
      </w:r>
      <w:r w:rsidR="00887037">
        <w:rPr>
          <w:rFonts w:eastAsia="Cambria" w:cs="Times New Roman"/>
          <w:szCs w:val="24"/>
          <w:lang w:eastAsia="lv-LV"/>
        </w:rPr>
        <w:t xml:space="preserve"> salīdzinot ar bāzes scenāriju.</w:t>
      </w:r>
    </w:p>
    <w:p w14:paraId="578676ED" w14:textId="77777777" w:rsidR="0088703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Organisko augšņu hidroloģiskā režīma atjaunošana un apmežošana ar lapu koku sugām, kas panes periodisku applūšanu (bērzs, alksnis) ir alternatīvs risinājums mērķtiecīgai organisko augšņu apmežošanai, kas nodrošina būtiski mazāku SEG emisiju samazinājumu, taču var palīdzēt izpildīt saistības, kas var tikt iekļautas dabas atjaunošanas regulā. Aprēķinos paredzēts, ka hidroloģiskā režīma atjaunošana pēc apmežošanas notiks 80 tūkst. ha platībā un šo pasākumu īstenos 2024.-2034. gadā. Kopējais SEG emisiju samazinājuma potenciāls ir 2,0 milj. tonnas CO</w:t>
      </w:r>
      <w:r w:rsidRPr="00D346E7">
        <w:rPr>
          <w:rFonts w:eastAsia="Cambria" w:cs="Times New Roman"/>
          <w:szCs w:val="24"/>
          <w:vertAlign w:val="subscript"/>
          <w:lang w:eastAsia="lv-LV"/>
        </w:rPr>
        <w:t>2</w:t>
      </w:r>
      <w:r w:rsidR="00887037">
        <w:rPr>
          <w:rFonts w:eastAsia="Cambria" w:cs="Times New Roman"/>
          <w:szCs w:val="24"/>
          <w:lang w:eastAsia="lv-LV"/>
        </w:rPr>
        <w:t xml:space="preserve"> ekv..</w:t>
      </w:r>
    </w:p>
    <w:p w14:paraId="327A953A" w14:textId="77777777" w:rsidR="00887037" w:rsidRDefault="00887037" w:rsidP="00D346E7">
      <w:pPr>
        <w:spacing w:before="120" w:after="120"/>
        <w:jc w:val="both"/>
        <w:rPr>
          <w:rFonts w:eastAsia="Cambria" w:cs="Times New Roman"/>
          <w:szCs w:val="24"/>
          <w:lang w:eastAsia="lv-LV"/>
        </w:rPr>
      </w:pPr>
    </w:p>
    <w:p w14:paraId="3B6E7FD8" w14:textId="5C8D441B"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lastRenderedPageBreak/>
        <w:t>Līdzīgu pasākumu var īstenot arī izstrādātos kūdras laukos. Aprēķinos pieņemts, ka apmežošanu ar sekojošu hidroloģiskā režīma atjaunošanu īsteno 12 tūkst. ha platībā 2024.-2030. gadā. Kopējais šī pasākuma SEG emisiju samazināšanas potenciāls līdz 2050. gadam ir 1,5 milj. tonnas CO</w:t>
      </w:r>
      <w:r w:rsidRPr="00D346E7">
        <w:rPr>
          <w:rFonts w:eastAsia="Cambria" w:cs="Times New Roman"/>
          <w:szCs w:val="24"/>
          <w:vertAlign w:val="subscript"/>
          <w:lang w:eastAsia="lv-LV"/>
        </w:rPr>
        <w:t>2</w:t>
      </w:r>
      <w:r w:rsidRPr="00D346E7">
        <w:rPr>
          <w:rFonts w:eastAsia="Cambria" w:cs="Times New Roman"/>
          <w:szCs w:val="24"/>
          <w:lang w:eastAsia="lv-LV"/>
        </w:rPr>
        <w:t xml:space="preserve"> ekv. Mazāk vērtīgo lauksaimniecībā izmantojamo zemju mērķtiecīga apmežošana ir nozīmīgākais pasākums ilgtermiņa klimatneitralitātes mērķa sasniegšanai pēc 2050. gada. Aprēķinos pieņemts, ka no 2024. gada apmežo 150 tūkst. ha mazāk vērtīgo lauksaimniecībā izmantojamo zemju. Jo ātrāk šis process notiek, jo lielāks ir apmežoto platību ieguldījums SEG emisiju samazināšanā. Īstenojot ne vairāk kā 10 gadu laikā, šis pasākums samazinās SEG emisijas par 41,6 milj.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2050. gadā un nodrošinās arvien lielāku SEG emisiju samazinājumu pēc 2050. gada. Hidroloģiskā režīma uzlabošana slapjaiņos ir pasākums, kas īstenojams esošajos mežos, kas periodiski cieš no pārlieka mitruma. Aprēķinos pieņemts, ka hidroloģisko režīmu uzlabo mežos ar minerālaugsnēm 160 tūkst. ha platībā, īstenojot šo pasākumu 2024.-2034. gadā. Šis pasākums samazinās SEG emisijas par 24,0 milj.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līdz 2050. gadam.</w:t>
      </w:r>
      <w:r w:rsidR="00857535">
        <w:rPr>
          <w:rFonts w:eastAsia="Cambria" w:cs="Times New Roman"/>
          <w:szCs w:val="24"/>
          <w:lang w:eastAsia="lv-LV"/>
        </w:rPr>
        <w:t xml:space="preserve"> </w:t>
      </w:r>
      <w:r w:rsidRPr="00D346E7">
        <w:rPr>
          <w:rFonts w:eastAsia="Cambria" w:cs="Times New Roman"/>
          <w:szCs w:val="24"/>
          <w:lang w:eastAsia="lv-LV"/>
        </w:rPr>
        <w:t>Mazproduktīvu mežaudžu nomaiņa ir nozīmīgs pasākums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piesaistes potenciāla palielināšanai meža zemēs. ZIZIMM mērķa scenārija projektā paredzēts, ka līdz 2030. gadam atjauno 10 tūkst. ha mazproduktīvo audžu, nodrošinot papildus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piesaisti, kas atbilst 1,5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līdz 2050. gadam. Ārpus meža zemēm plānoti trīs pasākumi, kas saistīti ar kokaugu audzēšanu. Kokaugu joslu stādījumi gar meliorācijas sistēmām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Klimata neitralitātes scenārijā paredzēts, ka kokaugu stādījumus ierīko 44 tūkst. ha platībā, īstenojot šo pasākumu 2024. – 2034. gadā un līdz 2050. gadam nodrošinot SEG emisiju samazinājumu par 25,8 milj. tonnām CO</w:t>
      </w:r>
      <w:r w:rsidRPr="00D346E7">
        <w:rPr>
          <w:rFonts w:eastAsia="Cambria" w:cs="Times New Roman"/>
          <w:szCs w:val="24"/>
          <w:vertAlign w:val="subscript"/>
          <w:lang w:eastAsia="lv-LV"/>
        </w:rPr>
        <w:t>2</w:t>
      </w:r>
      <w:r w:rsidRPr="00D346E7">
        <w:rPr>
          <w:rFonts w:eastAsia="Cambria" w:cs="Times New Roman"/>
          <w:szCs w:val="24"/>
          <w:lang w:eastAsia="lv-LV"/>
        </w:rPr>
        <w:t>. Kārklu atvasāju ierīkošana ir videi drošs notekūdeņu dūņu izmantošanas risinājums, kas ļauj strauji palielināt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piesaisti augu biomasā un nodrošināt vēl daudzkārt lielāku aizstāšanas efektu enerģētikas sektorā.</w:t>
      </w:r>
    </w:p>
    <w:p w14:paraId="192B50F8" w14:textId="6BDE9216" w:rsidR="00D346E7" w:rsidRPr="00D346E7" w:rsidRDefault="00D346E7" w:rsidP="00D346E7">
      <w:pPr>
        <w:spacing w:before="120" w:after="120"/>
        <w:jc w:val="both"/>
        <w:rPr>
          <w:rFonts w:cs="Times New Roman"/>
          <w:szCs w:val="24"/>
        </w:rPr>
      </w:pPr>
      <w:r w:rsidRPr="00D346E7">
        <w:rPr>
          <w:rFonts w:eastAsia="Cambria" w:cs="Times New Roman"/>
          <w:szCs w:val="24"/>
        </w:rPr>
        <w:t>Kokaugu stādījumi notekūdeņu dūņu izmantošanai lauksaimniecībā izmantojamās zemēs</w:t>
      </w:r>
      <w:r w:rsidR="00857535">
        <w:rPr>
          <w:rFonts w:eastAsia="Cambria" w:cs="Times New Roman"/>
          <w:szCs w:val="24"/>
        </w:rPr>
        <w:t xml:space="preserve"> </w:t>
      </w:r>
      <w:r w:rsidRPr="00D346E7">
        <w:rPr>
          <w:rFonts w:eastAsia="Cambria" w:cs="Times New Roman"/>
          <w:szCs w:val="24"/>
        </w:rPr>
        <w:t>30 tūkst. ha platībā līdz 2050. gadam var nodrošināt SEG emisiju samazinājums līdz 1,5 milj. tonnu CO</w:t>
      </w:r>
      <w:r w:rsidRPr="00D346E7">
        <w:rPr>
          <w:rFonts w:eastAsia="Cambria" w:cs="Times New Roman"/>
          <w:szCs w:val="24"/>
          <w:vertAlign w:val="subscript"/>
        </w:rPr>
        <w:t>2</w:t>
      </w:r>
      <w:r w:rsidRPr="00D346E7">
        <w:rPr>
          <w:rFonts w:eastAsia="Cambria" w:cs="Times New Roman"/>
          <w:szCs w:val="24"/>
        </w:rPr>
        <w:t xml:space="preserve"> ekv., neskaitot aizstāšanas efektu un CO</w:t>
      </w:r>
      <w:r w:rsidRPr="00D346E7">
        <w:rPr>
          <w:rFonts w:eastAsia="Cambria" w:cs="Times New Roman"/>
          <w:szCs w:val="24"/>
          <w:vertAlign w:val="subscript"/>
        </w:rPr>
        <w:t>2</w:t>
      </w:r>
      <w:r w:rsidRPr="00D346E7">
        <w:rPr>
          <w:rFonts w:eastAsia="Cambria" w:cs="Times New Roman"/>
          <w:szCs w:val="24"/>
        </w:rPr>
        <w:t xml:space="preserve"> piesaisti augsnē.</w:t>
      </w:r>
      <w:r w:rsidRPr="00D346E7">
        <w:rPr>
          <w:rFonts w:eastAsia="Cambria" w:cs="Times New Roman"/>
          <w:szCs w:val="24"/>
          <w:lang w:eastAsia="lv-LV"/>
        </w:rPr>
        <w:t xml:space="preserve"> Būtisku SEG emisiju samazinājumu ārpus meža zemēm var nodrošināt arī par 0,1 ha mazāku</w:t>
      </w:r>
      <w:r w:rsidR="00857535">
        <w:rPr>
          <w:rFonts w:eastAsia="Cambria" w:cs="Times New Roman"/>
          <w:szCs w:val="24"/>
          <w:lang w:eastAsia="lv-LV"/>
        </w:rPr>
        <w:t xml:space="preserve"> </w:t>
      </w:r>
      <w:r w:rsidRPr="00D346E7">
        <w:rPr>
          <w:rFonts w:eastAsia="Cambria" w:cs="Times New Roman"/>
          <w:szCs w:val="24"/>
          <w:lang w:eastAsia="lv-LV"/>
        </w:rPr>
        <w:t>koku grupas ganībās. Kopējā ietekmētā ganību platība ap 300 tūkst. ha, paredzot kokaugu stādījumu ierīkošanu 30 tūkst. ha platībā 2024.- 2034. gadā. Kopējais sagaidāmais SEG emisiju samazināšanas efekts līdz 2050. gadam ir 7,5 milj. tonnas CO</w:t>
      </w:r>
      <w:r w:rsidRPr="00D346E7">
        <w:rPr>
          <w:rFonts w:eastAsia="Cambria" w:cs="Times New Roman"/>
          <w:szCs w:val="24"/>
          <w:vertAlign w:val="subscript"/>
          <w:lang w:eastAsia="lv-LV"/>
        </w:rPr>
        <w:t>2</w:t>
      </w:r>
      <w:r w:rsidRPr="00D346E7">
        <w:rPr>
          <w:rFonts w:eastAsia="Cambria" w:cs="Times New Roman"/>
          <w:szCs w:val="24"/>
          <w:lang w:eastAsia="lv-LV"/>
        </w:rPr>
        <w:t>, tajā skaitā koksnes produkti.</w:t>
      </w:r>
    </w:p>
    <w:p w14:paraId="2DCE0938"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Viens no svarīgākajiem pasākumiem 2030. gada mērķu sasniegšanai, kas ļaus samazināt SEG emisijas par vismaz 1 milj.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līdz 2030.</w:t>
      </w:r>
      <w:r w:rsidR="00E87B56">
        <w:rPr>
          <w:rFonts w:eastAsia="Cambria" w:cs="Times New Roman"/>
          <w:szCs w:val="24"/>
          <w:lang w:eastAsia="lv-LV"/>
        </w:rPr>
        <w:t> </w:t>
      </w:r>
      <w:r w:rsidRPr="00D346E7">
        <w:rPr>
          <w:rFonts w:eastAsia="Cambria" w:cs="Times New Roman"/>
          <w:szCs w:val="24"/>
          <w:lang w:eastAsia="lv-LV"/>
        </w:rPr>
        <w:t>gadam</w:t>
      </w:r>
      <w:r w:rsidR="00E87B56">
        <w:rPr>
          <w:rFonts w:eastAsia="Cambria" w:cs="Times New Roman"/>
          <w:szCs w:val="24"/>
          <w:lang w:eastAsia="lv-LV"/>
        </w:rPr>
        <w:t xml:space="preserve">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30</w:t>
      </w:r>
      <w:r w:rsidR="00E87B56">
        <w:rPr>
          <w:rFonts w:eastAsia="Cambria" w:cs="Times New Roman"/>
          <w:szCs w:val="24"/>
        </w:rPr>
        <w:t>. </w:t>
      </w:r>
      <w:r w:rsidR="00E87B56" w:rsidRPr="00D346E7">
        <w:rPr>
          <w:rFonts w:eastAsia="Cambria" w:cs="Times New Roman"/>
          <w:szCs w:val="24"/>
        </w:rPr>
        <w:t>att</w:t>
      </w:r>
      <w:r w:rsidR="00E87B56">
        <w:rPr>
          <w:rFonts w:eastAsia="Cambria" w:cs="Times New Roman"/>
          <w:szCs w:val="24"/>
        </w:rPr>
        <w:t>.</w:t>
      </w:r>
      <w:r w:rsidR="00E87B56" w:rsidRPr="00D346E7">
        <w:rPr>
          <w:rFonts w:eastAsia="Cambria" w:cs="Times New Roman"/>
          <w:szCs w:val="24"/>
        </w:rPr>
        <w:t>)</w:t>
      </w:r>
      <w:r w:rsidRPr="00D346E7">
        <w:rPr>
          <w:rFonts w:eastAsia="Cambria" w:cs="Times New Roman"/>
          <w:szCs w:val="24"/>
          <w:lang w:eastAsia="lv-LV"/>
        </w:rPr>
        <w:t>, ir koksnes ķīmiskās pārstrādes rūpnīcas uzveidošana šobrīd eksportējamo mazāk vērtīgo apaļo kokmateriālu pārstrādei. Kokaugu augšanas gaitas prognozēšanai 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prasības saimnieciskajai darbībai, kas apgrūtina meliorācijas sistēmu paplašināšanu, piemēram, ierobežojumi meliorācijas sistēmu ievadīšanai dabiskajās ūdenskrātuvēs.</w:t>
      </w:r>
    </w:p>
    <w:p w14:paraId="54447BFD" w14:textId="77777777" w:rsidR="00D346E7" w:rsidRPr="00D346E7" w:rsidRDefault="00D346E7" w:rsidP="00D346E7">
      <w:pPr>
        <w:spacing w:before="120" w:after="120"/>
        <w:jc w:val="both"/>
        <w:rPr>
          <w:rFonts w:eastAsia="Cambria" w:cs="Times New Roman"/>
          <w:bCs/>
          <w:szCs w:val="24"/>
          <w:lang w:eastAsia="lv-LV"/>
        </w:rPr>
      </w:pPr>
      <w:r w:rsidRPr="00D346E7">
        <w:rPr>
          <w:rFonts w:eastAsia="Cambria" w:cs="Times New Roman"/>
          <w:bCs/>
          <w:szCs w:val="24"/>
          <w:lang w:eastAsia="lv-LV"/>
        </w:rPr>
        <w:t xml:space="preserve">Viens no priekšnosacījumiem klimatneitralitātes mērķu sasniegšanai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31</w:t>
      </w:r>
      <w:r w:rsidR="00E87B56">
        <w:rPr>
          <w:rFonts w:eastAsia="Cambria" w:cs="Times New Roman"/>
          <w:szCs w:val="24"/>
        </w:rPr>
        <w:t>. un 3.</w:t>
      </w:r>
      <w:r w:rsidR="00367DDE">
        <w:rPr>
          <w:rFonts w:eastAsia="Cambria" w:cs="Times New Roman"/>
          <w:szCs w:val="24"/>
        </w:rPr>
        <w:t>32</w:t>
      </w:r>
      <w:r w:rsidR="00E87B56">
        <w:rPr>
          <w:rFonts w:eastAsia="Cambria" w:cs="Times New Roman"/>
          <w:szCs w:val="24"/>
        </w:rPr>
        <w:t>. att.</w:t>
      </w:r>
      <w:r w:rsidR="00E87B56" w:rsidRPr="00D346E7">
        <w:rPr>
          <w:rFonts w:eastAsia="Cambria" w:cs="Times New Roman"/>
          <w:szCs w:val="24"/>
        </w:rPr>
        <w:t>)</w:t>
      </w:r>
      <w:r w:rsidR="00E87B56">
        <w:rPr>
          <w:rFonts w:eastAsia="Cambria" w:cs="Times New Roman"/>
          <w:szCs w:val="24"/>
        </w:rPr>
        <w:t xml:space="preserve"> </w:t>
      </w:r>
      <w:r w:rsidRPr="00D346E7">
        <w:rPr>
          <w:rFonts w:eastAsia="Cambria" w:cs="Times New Roman"/>
          <w:bCs/>
          <w:szCs w:val="24"/>
          <w:lang w:eastAsia="lv-LV"/>
        </w:rPr>
        <w:t>ir kūdras ieguves nepalielināšana, salīdzinot ar esošo ražošanas līmeni, un paralēli meklējot risinājumus jaunu un tikpat efektīvu substrāta izejvielu iegūšanai.</w:t>
      </w:r>
    </w:p>
    <w:p w14:paraId="62558029" w14:textId="093AFA80" w:rsidR="00D346E7" w:rsidRPr="00D346E7" w:rsidRDefault="000654E1" w:rsidP="00D346E7">
      <w:pPr>
        <w:spacing w:before="120" w:after="120"/>
        <w:jc w:val="center"/>
        <w:rPr>
          <w:rFonts w:eastAsia="Cambria" w:cs="Times New Roman"/>
          <w:szCs w:val="24"/>
          <w:lang w:eastAsia="lv-LV"/>
        </w:rPr>
      </w:pPr>
      <w:r>
        <w:rPr>
          <w:rFonts w:cs="Times New Roman"/>
          <w:noProof/>
          <w:szCs w:val="24"/>
          <w:lang w:eastAsia="lv-LV"/>
        </w:rPr>
        <w:lastRenderedPageBreak/>
        <w:drawing>
          <wp:inline distT="0" distB="0" distL="0" distR="0" wp14:anchorId="377705B0" wp14:editId="3E74284D">
            <wp:extent cx="3990975" cy="2400300"/>
            <wp:effectExtent l="0" t="0" r="9525" b="0"/>
            <wp:docPr id="31" name="Picture 545506091"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506091" descr="A graph with different colored bars and number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90975" cy="2400300"/>
                    </a:xfrm>
                    <a:prstGeom prst="rect">
                      <a:avLst/>
                    </a:prstGeom>
                    <a:noFill/>
                    <a:ln>
                      <a:noFill/>
                    </a:ln>
                  </pic:spPr>
                </pic:pic>
              </a:graphicData>
            </a:graphic>
          </wp:inline>
        </w:drawing>
      </w:r>
    </w:p>
    <w:p w14:paraId="05228A47" w14:textId="4CD56DB5" w:rsidR="00D346E7" w:rsidRPr="00D346E7" w:rsidRDefault="00E87B56" w:rsidP="00D346E7">
      <w:pPr>
        <w:spacing w:before="120" w:after="120"/>
        <w:jc w:val="center"/>
        <w:rPr>
          <w:rFonts w:eastAsia="Cambria" w:cs="Times New Roman"/>
          <w:b/>
          <w:bCs/>
          <w:szCs w:val="24"/>
        </w:rPr>
      </w:pPr>
      <w:r>
        <w:rPr>
          <w:rFonts w:eastAsia="Cambria" w:cs="Times New Roman"/>
          <w:b/>
          <w:bCs/>
          <w:szCs w:val="24"/>
          <w:lang w:eastAsia="lv-LV"/>
        </w:rPr>
        <w:t>3.</w:t>
      </w:r>
      <w:r w:rsidR="00367DDE">
        <w:rPr>
          <w:rFonts w:eastAsia="Cambria" w:cs="Times New Roman"/>
          <w:b/>
          <w:bCs/>
          <w:szCs w:val="24"/>
          <w:lang w:eastAsia="lv-LV"/>
        </w:rPr>
        <w:t>30</w:t>
      </w:r>
      <w:r w:rsidR="00D346E7" w:rsidRPr="00D346E7">
        <w:rPr>
          <w:rFonts w:eastAsia="Cambria" w:cs="Times New Roman"/>
          <w:b/>
          <w:bCs/>
          <w:szCs w:val="24"/>
          <w:lang w:eastAsia="lv-LV"/>
        </w:rPr>
        <w:t>.attēls.</w:t>
      </w:r>
      <w:r w:rsidR="00857535">
        <w:rPr>
          <w:rFonts w:eastAsia="Cambria" w:cs="Times New Roman"/>
          <w:b/>
          <w:bCs/>
          <w:szCs w:val="24"/>
          <w:lang w:eastAsia="lv-LV"/>
        </w:rPr>
        <w:t xml:space="preserve"> </w:t>
      </w:r>
      <w:r w:rsidR="00D346E7" w:rsidRPr="00D346E7">
        <w:rPr>
          <w:rFonts w:eastAsia="Cambria" w:cs="Times New Roman"/>
          <w:b/>
          <w:bCs/>
          <w:szCs w:val="24"/>
        </w:rPr>
        <w:t>ZIZIMM sektora SEG emisijas 2005.-2030.gadā (mērķa scenārijs) (kt CO</w:t>
      </w:r>
      <w:r w:rsidR="00D346E7" w:rsidRPr="00D346E7">
        <w:rPr>
          <w:rFonts w:eastAsia="Cambria" w:cs="Times New Roman"/>
          <w:b/>
          <w:bCs/>
          <w:szCs w:val="24"/>
          <w:vertAlign w:val="subscript"/>
        </w:rPr>
        <w:t>2</w:t>
      </w:r>
      <w:r w:rsidR="00D346E7" w:rsidRPr="00D346E7">
        <w:rPr>
          <w:rFonts w:eastAsia="Cambria" w:cs="Times New Roman"/>
          <w:b/>
          <w:bCs/>
          <w:szCs w:val="24"/>
        </w:rPr>
        <w:t xml:space="preserve"> ekv.)</w:t>
      </w:r>
    </w:p>
    <w:p w14:paraId="191F700E" w14:textId="619DCAEE" w:rsidR="00D346E7" w:rsidRPr="00D346E7" w:rsidRDefault="000654E1" w:rsidP="00D346E7">
      <w:pPr>
        <w:spacing w:before="120" w:after="120"/>
        <w:jc w:val="center"/>
        <w:rPr>
          <w:rFonts w:eastAsia="Cambria" w:cs="Times New Roman"/>
          <w:szCs w:val="24"/>
          <w:lang w:eastAsia="lv-LV"/>
        </w:rPr>
      </w:pPr>
      <w:r>
        <w:rPr>
          <w:rFonts w:cs="Times New Roman"/>
          <w:noProof/>
          <w:szCs w:val="24"/>
          <w:lang w:eastAsia="lv-LV"/>
        </w:rPr>
        <w:drawing>
          <wp:inline distT="0" distB="0" distL="0" distR="0" wp14:anchorId="6C220155" wp14:editId="1C00B148">
            <wp:extent cx="4686300" cy="2047875"/>
            <wp:effectExtent l="0" t="0" r="0" b="0"/>
            <wp:docPr id="32" name="Picture 1747894662" descr="A blue lin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894662" descr="A blue line with a black background&#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86300" cy="2047875"/>
                    </a:xfrm>
                    <a:prstGeom prst="rect">
                      <a:avLst/>
                    </a:prstGeom>
                    <a:noFill/>
                    <a:ln>
                      <a:noFill/>
                    </a:ln>
                  </pic:spPr>
                </pic:pic>
              </a:graphicData>
            </a:graphic>
          </wp:inline>
        </w:drawing>
      </w:r>
    </w:p>
    <w:p w14:paraId="661A8DA5" w14:textId="77777777" w:rsidR="00D346E7" w:rsidRPr="00D346E7" w:rsidRDefault="00E87B56" w:rsidP="00D346E7">
      <w:pPr>
        <w:spacing w:before="120" w:after="120"/>
        <w:jc w:val="center"/>
        <w:rPr>
          <w:rFonts w:eastAsia="Cambria" w:cs="Times New Roman"/>
          <w:b/>
          <w:bCs/>
          <w:szCs w:val="24"/>
          <w:lang w:eastAsia="lv-LV"/>
        </w:rPr>
      </w:pPr>
      <w:r>
        <w:rPr>
          <w:rFonts w:eastAsia="Cambria" w:cs="Times New Roman"/>
          <w:b/>
          <w:bCs/>
          <w:szCs w:val="24"/>
          <w:lang w:eastAsia="lv-LV"/>
        </w:rPr>
        <w:t>3.</w:t>
      </w:r>
      <w:r w:rsidR="00367DDE">
        <w:rPr>
          <w:rFonts w:eastAsia="Cambria" w:cs="Times New Roman"/>
          <w:b/>
          <w:bCs/>
          <w:szCs w:val="24"/>
          <w:lang w:eastAsia="lv-LV"/>
        </w:rPr>
        <w:t>31</w:t>
      </w:r>
      <w:r w:rsidR="00D346E7" w:rsidRPr="00D346E7">
        <w:rPr>
          <w:rFonts w:eastAsia="Cambria" w:cs="Times New Roman"/>
          <w:b/>
          <w:bCs/>
          <w:szCs w:val="24"/>
          <w:lang w:eastAsia="lv-LV"/>
        </w:rPr>
        <w:t>. attēls. SEG emisiju prognoze ZIZIMM sektorā, īstenojot klimatneitralitātes scenārijā iekļautos pasākumus</w:t>
      </w:r>
    </w:p>
    <w:p w14:paraId="23B8D480" w14:textId="7E20F934" w:rsidR="00D346E7" w:rsidRPr="00D346E7" w:rsidRDefault="000654E1" w:rsidP="00D346E7">
      <w:pPr>
        <w:spacing w:before="120" w:after="120"/>
        <w:jc w:val="center"/>
        <w:rPr>
          <w:rFonts w:cs="Times New Roman"/>
          <w:szCs w:val="24"/>
          <w:lang w:eastAsia="lv-LV"/>
        </w:rPr>
      </w:pPr>
      <w:r>
        <w:rPr>
          <w:rFonts w:cs="Times New Roman"/>
          <w:noProof/>
          <w:szCs w:val="24"/>
          <w:lang w:eastAsia="lv-LV"/>
        </w:rPr>
        <w:drawing>
          <wp:inline distT="0" distB="0" distL="0" distR="0" wp14:anchorId="6F9A1642" wp14:editId="3319C17F">
            <wp:extent cx="5153025" cy="2257425"/>
            <wp:effectExtent l="0" t="0" r="9525" b="9525"/>
            <wp:docPr id="33" name="Picture 41887265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872654" descr="A graph of different colored bars&#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3025" cy="2257425"/>
                    </a:xfrm>
                    <a:prstGeom prst="rect">
                      <a:avLst/>
                    </a:prstGeom>
                    <a:noFill/>
                    <a:ln>
                      <a:noFill/>
                    </a:ln>
                  </pic:spPr>
                </pic:pic>
              </a:graphicData>
            </a:graphic>
          </wp:inline>
        </w:drawing>
      </w:r>
    </w:p>
    <w:p w14:paraId="04BCF903" w14:textId="77777777" w:rsidR="00D346E7" w:rsidRPr="00D346E7" w:rsidRDefault="00E87B56" w:rsidP="00D346E7">
      <w:pPr>
        <w:pStyle w:val="Caption"/>
        <w:rPr>
          <w:rFonts w:eastAsia="Cambria"/>
          <w:sz w:val="24"/>
          <w:szCs w:val="24"/>
          <w:lang w:eastAsia="lv-LV"/>
        </w:rPr>
      </w:pPr>
      <w:r>
        <w:rPr>
          <w:rFonts w:eastAsia="Cambria"/>
          <w:sz w:val="24"/>
          <w:szCs w:val="24"/>
          <w:lang w:eastAsia="lv-LV"/>
        </w:rPr>
        <w:t>3.</w:t>
      </w:r>
      <w:r w:rsidR="00367DDE">
        <w:rPr>
          <w:rFonts w:eastAsia="Cambria"/>
          <w:sz w:val="24"/>
          <w:szCs w:val="24"/>
          <w:lang w:eastAsia="lv-LV"/>
        </w:rPr>
        <w:t>32</w:t>
      </w:r>
      <w:r w:rsidR="00D346E7" w:rsidRPr="00D346E7">
        <w:rPr>
          <w:rFonts w:eastAsia="Cambria"/>
          <w:sz w:val="24"/>
          <w:szCs w:val="24"/>
          <w:lang w:eastAsia="lv-LV"/>
        </w:rPr>
        <w:t>.attēls. SEG emisiju prognoze dažādās zemes izmantošanas kategorijās</w:t>
      </w:r>
    </w:p>
    <w:p w14:paraId="60A998A4" w14:textId="77777777" w:rsidR="00C65D73" w:rsidRPr="00D346E7" w:rsidRDefault="00C65D73" w:rsidP="00D346E7">
      <w:pPr>
        <w:pStyle w:val="Heading31"/>
        <w:spacing w:before="120"/>
        <w:rPr>
          <w:rFonts w:ascii="Times New Roman" w:hAnsi="Times New Roman"/>
          <w:sz w:val="24"/>
          <w:szCs w:val="24"/>
          <w:lang w:val="lv-LV"/>
        </w:rPr>
      </w:pPr>
    </w:p>
    <w:p w14:paraId="6551C064" w14:textId="77777777" w:rsidR="007E4B68" w:rsidRDefault="007E4B68" w:rsidP="004B6EC8">
      <w:pPr>
        <w:pStyle w:val="Heading31"/>
        <w:rPr>
          <w:rFonts w:ascii="Times New Roman" w:hAnsi="Times New Roman"/>
          <w:szCs w:val="26"/>
          <w:lang w:val="lv-LV"/>
        </w:rPr>
      </w:pPr>
    </w:p>
    <w:p w14:paraId="0C4E9CFD" w14:textId="77777777" w:rsidR="004B6EC8" w:rsidRPr="007A6B93" w:rsidRDefault="00237114" w:rsidP="004B6EC8">
      <w:pPr>
        <w:pStyle w:val="Heading31"/>
        <w:rPr>
          <w:rFonts w:ascii="Times New Roman" w:hAnsi="Times New Roman"/>
          <w:szCs w:val="26"/>
          <w:lang w:val="lv-LV"/>
        </w:rPr>
      </w:pPr>
      <w:bookmarkStart w:id="172" w:name="_Toc169602252"/>
      <w:r w:rsidRPr="007A6B93">
        <w:rPr>
          <w:rFonts w:ascii="Times New Roman" w:hAnsi="Times New Roman"/>
          <w:szCs w:val="26"/>
          <w:lang w:val="lv-LV"/>
        </w:rPr>
        <w:t>3.2.2</w:t>
      </w:r>
      <w:r w:rsidR="004B6EC8" w:rsidRPr="007A6B93">
        <w:rPr>
          <w:rFonts w:ascii="Times New Roman" w:hAnsi="Times New Roman"/>
          <w:szCs w:val="26"/>
          <w:lang w:val="lv-LV"/>
        </w:rPr>
        <w:t>.</w:t>
      </w:r>
      <w:r w:rsidR="004B6EC8" w:rsidRPr="007A6B93">
        <w:rPr>
          <w:rFonts w:ascii="Times New Roman" w:hAnsi="Times New Roman"/>
          <w:szCs w:val="26"/>
          <w:lang w:val="lv-LV"/>
        </w:rPr>
        <w:tab/>
      </w:r>
      <w:r w:rsidR="002E584B" w:rsidRPr="007A6B93">
        <w:rPr>
          <w:rFonts w:ascii="Times New Roman" w:hAnsi="Times New Roman"/>
          <w:szCs w:val="26"/>
          <w:lang w:val="lv-LV"/>
        </w:rPr>
        <w:t xml:space="preserve">Plānā paredzēto </w:t>
      </w:r>
      <w:r w:rsidR="004B6EC8" w:rsidRPr="007A6B93">
        <w:rPr>
          <w:rFonts w:ascii="Times New Roman" w:hAnsi="Times New Roman"/>
          <w:szCs w:val="26"/>
          <w:lang w:val="lv-LV"/>
        </w:rPr>
        <w:t>SEG emisiju un CO</w:t>
      </w:r>
      <w:r w:rsidR="004B6EC8" w:rsidRPr="007A6B93">
        <w:rPr>
          <w:rFonts w:ascii="Times New Roman" w:hAnsi="Times New Roman"/>
          <w:szCs w:val="26"/>
          <w:vertAlign w:val="subscript"/>
          <w:lang w:val="lv-LV"/>
        </w:rPr>
        <w:t>2</w:t>
      </w:r>
      <w:r w:rsidR="004B6EC8" w:rsidRPr="007A6B93">
        <w:rPr>
          <w:rFonts w:ascii="Times New Roman" w:hAnsi="Times New Roman"/>
          <w:szCs w:val="26"/>
          <w:lang w:val="lv-LV"/>
        </w:rPr>
        <w:t xml:space="preserve"> piesaiste</w:t>
      </w:r>
      <w:r w:rsidR="002E584B" w:rsidRPr="007A6B93">
        <w:rPr>
          <w:rFonts w:ascii="Times New Roman" w:hAnsi="Times New Roman"/>
          <w:szCs w:val="26"/>
          <w:lang w:val="lv-LV"/>
        </w:rPr>
        <w:t xml:space="preserve">s mērķu </w:t>
      </w:r>
      <w:r w:rsidR="00817A13" w:rsidRPr="007A6B93">
        <w:rPr>
          <w:rFonts w:ascii="Times New Roman" w:hAnsi="Times New Roman"/>
          <w:szCs w:val="26"/>
          <w:lang w:val="lv-LV"/>
        </w:rPr>
        <w:t xml:space="preserve">bāzes scenārijā </w:t>
      </w:r>
      <w:r w:rsidR="002E584B" w:rsidRPr="007A6B93">
        <w:rPr>
          <w:rFonts w:ascii="Times New Roman" w:hAnsi="Times New Roman"/>
          <w:szCs w:val="26"/>
          <w:lang w:val="lv-LV"/>
        </w:rPr>
        <w:t>apkopojums</w:t>
      </w:r>
      <w:bookmarkEnd w:id="172"/>
    </w:p>
    <w:p w14:paraId="3EE95586" w14:textId="77777777" w:rsidR="008919C5" w:rsidRPr="004826D1" w:rsidRDefault="008919C5" w:rsidP="008919C5">
      <w:pPr>
        <w:rPr>
          <w:lang w:eastAsia="en-GB"/>
        </w:rPr>
      </w:pPr>
    </w:p>
    <w:p w14:paraId="1882D7B0" w14:textId="77777777" w:rsidR="002E584B" w:rsidRPr="007A6B93" w:rsidRDefault="002E584B" w:rsidP="009A5918">
      <w:pPr>
        <w:pStyle w:val="Heading31"/>
        <w:rPr>
          <w:rFonts w:ascii="Times New Roman" w:hAnsi="Times New Roman"/>
          <w:sz w:val="24"/>
          <w:szCs w:val="24"/>
          <w:lang w:val="lv-LV"/>
        </w:rPr>
      </w:pPr>
      <w:bookmarkStart w:id="173" w:name="_Toc169602253"/>
      <w:bookmarkStart w:id="174" w:name="_Toc527529588"/>
      <w:r w:rsidRPr="007A6B93">
        <w:rPr>
          <w:rFonts w:ascii="Times New Roman" w:hAnsi="Times New Roman"/>
          <w:sz w:val="24"/>
          <w:szCs w:val="24"/>
          <w:lang w:val="lv-LV"/>
        </w:rPr>
        <w:lastRenderedPageBreak/>
        <w:t>3.2.2.1. Transport</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3"/>
    </w:p>
    <w:tbl>
      <w:tblPr>
        <w:tblW w:w="9354" w:type="dxa"/>
        <w:jc w:val="center"/>
        <w:tblBorders>
          <w:top w:val="single" w:sz="4" w:space="0" w:color="7F7F7F"/>
          <w:bottom w:val="single" w:sz="4" w:space="0" w:color="7F7F7F"/>
        </w:tblBorders>
        <w:tblLook w:val="04A0" w:firstRow="1" w:lastRow="0" w:firstColumn="1" w:lastColumn="0" w:noHBand="0" w:noVBand="1"/>
      </w:tblPr>
      <w:tblGrid>
        <w:gridCol w:w="4351"/>
        <w:gridCol w:w="1318"/>
        <w:gridCol w:w="1073"/>
        <w:gridCol w:w="1217"/>
        <w:gridCol w:w="1395"/>
      </w:tblGrid>
      <w:tr w:rsidR="002E584B" w:rsidRPr="004826D1" w14:paraId="376B30BF" w14:textId="77777777" w:rsidTr="00336DC4">
        <w:trPr>
          <w:trHeight w:val="340"/>
          <w:jc w:val="center"/>
        </w:trPr>
        <w:tc>
          <w:tcPr>
            <w:tcW w:w="4351" w:type="dxa"/>
            <w:tcBorders>
              <w:bottom w:val="single" w:sz="4" w:space="0" w:color="7F7F7F"/>
            </w:tcBorders>
            <w:shd w:val="clear" w:color="auto" w:fill="auto"/>
            <w:vAlign w:val="center"/>
          </w:tcPr>
          <w:p w14:paraId="6E9944E4" w14:textId="77777777" w:rsidR="002E584B" w:rsidRPr="004826D1" w:rsidRDefault="002E584B" w:rsidP="00336DC4">
            <w:pPr>
              <w:jc w:val="center"/>
              <w:rPr>
                <w:rFonts w:eastAsia="Calibri" w:cs="Times New Roman"/>
                <w:b/>
                <w:color w:val="000000"/>
                <w:sz w:val="22"/>
                <w:szCs w:val="22"/>
              </w:rPr>
            </w:pPr>
            <w:r w:rsidRPr="004826D1">
              <w:rPr>
                <w:rFonts w:eastAsia="Calibri" w:cs="Times New Roman"/>
                <w:b/>
                <w:color w:val="000000"/>
                <w:sz w:val="22"/>
                <w:szCs w:val="22"/>
              </w:rPr>
              <w:t>MĒRĶRĀDĪTĀJS</w:t>
            </w:r>
          </w:p>
        </w:tc>
        <w:tc>
          <w:tcPr>
            <w:tcW w:w="1318" w:type="dxa"/>
            <w:tcBorders>
              <w:bottom w:val="single" w:sz="4" w:space="0" w:color="7F7F7F"/>
            </w:tcBorders>
            <w:shd w:val="clear" w:color="auto" w:fill="auto"/>
          </w:tcPr>
          <w:p w14:paraId="08F4C36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0F8577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073" w:type="dxa"/>
            <w:tcBorders>
              <w:bottom w:val="single" w:sz="4" w:space="0" w:color="7F7F7F"/>
            </w:tcBorders>
            <w:shd w:val="clear" w:color="auto" w:fill="auto"/>
          </w:tcPr>
          <w:p w14:paraId="423FB0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20590F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217" w:type="dxa"/>
            <w:tcBorders>
              <w:bottom w:val="single" w:sz="4" w:space="0" w:color="7F7F7F"/>
            </w:tcBorders>
            <w:shd w:val="clear" w:color="auto" w:fill="auto"/>
          </w:tcPr>
          <w:p w14:paraId="13BCCD7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 2025</w:t>
            </w:r>
          </w:p>
        </w:tc>
        <w:tc>
          <w:tcPr>
            <w:tcW w:w="1395" w:type="dxa"/>
            <w:tcBorders>
              <w:bottom w:val="single" w:sz="4" w:space="0" w:color="7F7F7F"/>
            </w:tcBorders>
            <w:shd w:val="clear" w:color="auto" w:fill="auto"/>
            <w:vAlign w:val="center"/>
          </w:tcPr>
          <w:p w14:paraId="4D238DA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w:t>
            </w:r>
          </w:p>
          <w:p w14:paraId="67FEDCD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2030</w:t>
            </w:r>
          </w:p>
        </w:tc>
      </w:tr>
      <w:tr w:rsidR="002E584B" w:rsidRPr="004826D1" w14:paraId="43495D9A"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2639E6E8"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SEG emisiju samazinājums (% pret 2005.</w:t>
            </w:r>
            <w:r w:rsidRPr="004826D1">
              <w:rPr>
                <w:rFonts w:cs="Times New Roman"/>
                <w:color w:val="000000"/>
                <w:sz w:val="22"/>
                <w:szCs w:val="22"/>
                <w:lang w:eastAsia="lv-LV"/>
              </w:rPr>
              <w:t xml:space="preserve"> g.)</w:t>
            </w:r>
          </w:p>
        </w:tc>
        <w:tc>
          <w:tcPr>
            <w:tcW w:w="1318" w:type="dxa"/>
            <w:tcBorders>
              <w:top w:val="single" w:sz="4" w:space="0" w:color="7F7F7F"/>
              <w:bottom w:val="single" w:sz="4" w:space="0" w:color="7F7F7F"/>
            </w:tcBorders>
            <w:shd w:val="clear" w:color="auto" w:fill="auto"/>
            <w:vAlign w:val="center"/>
          </w:tcPr>
          <w:p w14:paraId="165C0BC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+3,8</w:t>
            </w:r>
          </w:p>
        </w:tc>
        <w:tc>
          <w:tcPr>
            <w:tcW w:w="1073" w:type="dxa"/>
            <w:tcBorders>
              <w:top w:val="single" w:sz="4" w:space="0" w:color="7F7F7F"/>
              <w:bottom w:val="single" w:sz="4" w:space="0" w:color="7F7F7F"/>
            </w:tcBorders>
            <w:shd w:val="clear" w:color="auto" w:fill="auto"/>
            <w:vAlign w:val="center"/>
          </w:tcPr>
          <w:p w14:paraId="643BAACD" w14:textId="77777777" w:rsidR="002E584B" w:rsidRPr="004826D1" w:rsidRDefault="002E584B" w:rsidP="00336DC4">
            <w:pPr>
              <w:jc w:val="center"/>
              <w:rPr>
                <w:rFonts w:eastAsia="Cambria" w:cs="Times New Roman"/>
                <w:sz w:val="22"/>
                <w:szCs w:val="22"/>
              </w:rPr>
            </w:pPr>
            <w:r w:rsidRPr="004826D1">
              <w:rPr>
                <w:rFonts w:cs="Times New Roman"/>
                <w:color w:val="000000"/>
                <w:sz w:val="22"/>
                <w:szCs w:val="22"/>
                <w:lang w:eastAsia="lv-LV"/>
              </w:rPr>
              <w:t>+1,0</w:t>
            </w:r>
          </w:p>
        </w:tc>
        <w:tc>
          <w:tcPr>
            <w:tcW w:w="1217" w:type="dxa"/>
            <w:tcBorders>
              <w:top w:val="single" w:sz="4" w:space="0" w:color="7F7F7F"/>
              <w:bottom w:val="single" w:sz="4" w:space="0" w:color="7F7F7F"/>
            </w:tcBorders>
            <w:shd w:val="clear" w:color="auto" w:fill="auto"/>
            <w:vAlign w:val="center"/>
          </w:tcPr>
          <w:p w14:paraId="601463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tcBorders>
              <w:top w:val="single" w:sz="4" w:space="0" w:color="7F7F7F"/>
              <w:bottom w:val="single" w:sz="4" w:space="0" w:color="7F7F7F"/>
            </w:tcBorders>
            <w:shd w:val="clear" w:color="auto" w:fill="auto"/>
            <w:vAlign w:val="center"/>
          </w:tcPr>
          <w:p w14:paraId="0937F89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-22</w:t>
            </w:r>
          </w:p>
        </w:tc>
      </w:tr>
      <w:tr w:rsidR="002E584B" w:rsidRPr="004826D1" w14:paraId="1F803A8E" w14:textId="77777777" w:rsidTr="00336DC4">
        <w:trPr>
          <w:trHeight w:val="340"/>
          <w:jc w:val="center"/>
        </w:trPr>
        <w:tc>
          <w:tcPr>
            <w:tcW w:w="4351" w:type="dxa"/>
            <w:shd w:val="clear" w:color="auto" w:fill="auto"/>
            <w:vAlign w:val="center"/>
          </w:tcPr>
          <w:p w14:paraId="7098AA1E" w14:textId="77777777" w:rsidR="002E584B" w:rsidRPr="004826D1" w:rsidRDefault="002E584B" w:rsidP="00336DC4">
            <w:pPr>
              <w:ind w:right="284"/>
              <w:jc w:val="center"/>
              <w:rPr>
                <w:rFonts w:cs="Times New Roman"/>
                <w:b/>
                <w:color w:val="000000"/>
                <w:sz w:val="22"/>
                <w:szCs w:val="22"/>
                <w:lang w:eastAsia="lv-LV"/>
              </w:rPr>
            </w:pPr>
            <w:r w:rsidRPr="004826D1">
              <w:rPr>
                <w:rFonts w:cs="Times New Roman"/>
                <w:bCs/>
                <w:color w:val="000000"/>
                <w:sz w:val="22"/>
                <w:szCs w:val="22"/>
                <w:lang w:eastAsia="lv-LV"/>
              </w:rPr>
              <w:t>SEG emisiju intensitātes samazinājums transportā (%)</w:t>
            </w:r>
          </w:p>
          <w:p w14:paraId="2BC3448D" w14:textId="77777777" w:rsidR="002E584B" w:rsidRPr="004826D1" w:rsidRDefault="002E584B" w:rsidP="00336DC4">
            <w:pPr>
              <w:ind w:right="284"/>
              <w:jc w:val="center"/>
              <w:rPr>
                <w:rFonts w:cs="Times New Roman"/>
                <w:color w:val="000000"/>
                <w:sz w:val="22"/>
                <w:szCs w:val="22"/>
                <w:lang w:eastAsia="lv-LV"/>
              </w:rPr>
            </w:pPr>
          </w:p>
          <w:p w14:paraId="7D298E3D" w14:textId="77777777" w:rsidR="002E584B" w:rsidRPr="004826D1" w:rsidRDefault="002E584B" w:rsidP="00336DC4">
            <w:pPr>
              <w:ind w:right="284"/>
              <w:jc w:val="center"/>
              <w:rPr>
                <w:rFonts w:cs="Times New Roman"/>
                <w:bCs/>
                <w:color w:val="000000"/>
                <w:sz w:val="22"/>
                <w:szCs w:val="22"/>
                <w:lang w:eastAsia="lv-LV"/>
              </w:rPr>
            </w:pPr>
            <w:r w:rsidRPr="004826D1">
              <w:rPr>
                <w:rFonts w:cs="Times New Roman"/>
                <w:color w:val="000000"/>
                <w:sz w:val="22"/>
                <w:szCs w:val="22"/>
                <w:lang w:eastAsia="lv-LV"/>
              </w:rPr>
              <w:t>AE</w:t>
            </w:r>
            <w:r w:rsidRPr="004826D1">
              <w:rPr>
                <w:rFonts w:cs="Times New Roman"/>
                <w:bCs/>
                <w:color w:val="000000"/>
                <w:sz w:val="22"/>
                <w:szCs w:val="22"/>
                <w:lang w:eastAsia="lv-LV"/>
              </w:rPr>
              <w:t xml:space="preserve"> īpatsvars transportā (%)</w:t>
            </w:r>
          </w:p>
        </w:tc>
        <w:tc>
          <w:tcPr>
            <w:tcW w:w="1318" w:type="dxa"/>
            <w:shd w:val="clear" w:color="auto" w:fill="auto"/>
            <w:vAlign w:val="center"/>
          </w:tcPr>
          <w:p w14:paraId="3E42C32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3,5</w:t>
            </w:r>
          </w:p>
          <w:p w14:paraId="2244A454" w14:textId="77777777" w:rsidR="002E584B" w:rsidRPr="004826D1" w:rsidRDefault="002E584B" w:rsidP="00336DC4">
            <w:pPr>
              <w:jc w:val="center"/>
              <w:rPr>
                <w:rFonts w:cs="Times New Roman"/>
                <w:color w:val="000000"/>
                <w:sz w:val="22"/>
                <w:szCs w:val="22"/>
                <w:lang w:eastAsia="lv-LV"/>
              </w:rPr>
            </w:pPr>
          </w:p>
          <w:p w14:paraId="3E60EE1A" w14:textId="77777777" w:rsidR="002E584B" w:rsidRPr="004826D1" w:rsidRDefault="002E584B" w:rsidP="00336DC4">
            <w:pPr>
              <w:jc w:val="center"/>
              <w:rPr>
                <w:rFonts w:cs="Times New Roman"/>
                <w:color w:val="000000"/>
                <w:sz w:val="22"/>
                <w:szCs w:val="22"/>
                <w:lang w:eastAsia="lv-LV"/>
              </w:rPr>
            </w:pPr>
          </w:p>
          <w:p w14:paraId="279B2F2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73" w:type="dxa"/>
            <w:shd w:val="clear" w:color="auto" w:fill="auto"/>
            <w:vAlign w:val="center"/>
          </w:tcPr>
          <w:p w14:paraId="076C4DC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2,1</w:t>
            </w:r>
          </w:p>
          <w:p w14:paraId="60F15D27" w14:textId="77777777" w:rsidR="002E584B" w:rsidRPr="004826D1" w:rsidRDefault="002E584B" w:rsidP="00336DC4">
            <w:pPr>
              <w:jc w:val="center"/>
              <w:rPr>
                <w:rFonts w:cs="Times New Roman"/>
                <w:color w:val="000000"/>
                <w:sz w:val="22"/>
                <w:szCs w:val="22"/>
                <w:lang w:eastAsia="lv-LV"/>
              </w:rPr>
            </w:pPr>
          </w:p>
          <w:p w14:paraId="268F9D67" w14:textId="77777777" w:rsidR="002E584B" w:rsidRPr="004826D1" w:rsidRDefault="002E584B" w:rsidP="00336DC4">
            <w:pPr>
              <w:jc w:val="center"/>
              <w:rPr>
                <w:rFonts w:cs="Times New Roman"/>
                <w:color w:val="000000"/>
                <w:sz w:val="22"/>
                <w:szCs w:val="22"/>
                <w:lang w:eastAsia="lv-LV"/>
              </w:rPr>
            </w:pPr>
          </w:p>
          <w:p w14:paraId="6E96320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17" w:type="dxa"/>
            <w:shd w:val="clear" w:color="auto" w:fill="auto"/>
            <w:vAlign w:val="center"/>
          </w:tcPr>
          <w:p w14:paraId="130A7743"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p w14:paraId="138DFFB6" w14:textId="77777777" w:rsidR="002E584B" w:rsidRPr="004826D1" w:rsidRDefault="002E584B" w:rsidP="00336DC4">
            <w:pPr>
              <w:jc w:val="center"/>
              <w:rPr>
                <w:rFonts w:cs="Times New Roman"/>
                <w:color w:val="000000"/>
                <w:sz w:val="22"/>
                <w:szCs w:val="22"/>
                <w:lang w:eastAsia="lv-LV"/>
              </w:rPr>
            </w:pPr>
          </w:p>
          <w:p w14:paraId="4997AFB3" w14:textId="77777777" w:rsidR="002E584B" w:rsidRPr="004826D1" w:rsidRDefault="002E584B" w:rsidP="00336DC4">
            <w:pPr>
              <w:jc w:val="center"/>
              <w:rPr>
                <w:rFonts w:cs="Times New Roman"/>
                <w:color w:val="000000"/>
                <w:sz w:val="22"/>
                <w:szCs w:val="22"/>
                <w:lang w:eastAsia="lv-LV"/>
              </w:rPr>
            </w:pPr>
          </w:p>
          <w:p w14:paraId="5B3C43E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3206325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14,5</w:t>
            </w:r>
          </w:p>
          <w:p w14:paraId="32C5EE47" w14:textId="77777777" w:rsidR="002E584B" w:rsidRPr="004826D1" w:rsidRDefault="002E584B" w:rsidP="00336DC4">
            <w:pPr>
              <w:jc w:val="center"/>
              <w:rPr>
                <w:rFonts w:cs="Times New Roman"/>
                <w:color w:val="000000"/>
                <w:sz w:val="22"/>
                <w:szCs w:val="22"/>
                <w:lang w:eastAsia="lv-LV"/>
              </w:rPr>
            </w:pPr>
          </w:p>
          <w:p w14:paraId="6E52D5E2" w14:textId="77777777" w:rsidR="002E584B" w:rsidRPr="004826D1" w:rsidRDefault="002E584B" w:rsidP="00336DC4">
            <w:pPr>
              <w:jc w:val="center"/>
              <w:rPr>
                <w:rFonts w:cs="Times New Roman"/>
                <w:color w:val="000000"/>
                <w:sz w:val="22"/>
                <w:szCs w:val="22"/>
                <w:lang w:eastAsia="lv-LV"/>
              </w:rPr>
            </w:pPr>
          </w:p>
          <w:p w14:paraId="7AE432D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w:t>
            </w:r>
          </w:p>
        </w:tc>
      </w:tr>
      <w:tr w:rsidR="002E584B" w:rsidRPr="004826D1" w14:paraId="1A8352A2"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15530D37"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Moderno biodegvielu/biogāzes īpatsvars transportā (%)</w:t>
            </w:r>
          </w:p>
        </w:tc>
        <w:tc>
          <w:tcPr>
            <w:tcW w:w="1318" w:type="dxa"/>
            <w:tcBorders>
              <w:top w:val="single" w:sz="4" w:space="0" w:color="7F7F7F"/>
              <w:bottom w:val="single" w:sz="4" w:space="0" w:color="7F7F7F"/>
            </w:tcBorders>
            <w:shd w:val="clear" w:color="auto" w:fill="auto"/>
            <w:vAlign w:val="center"/>
          </w:tcPr>
          <w:p w14:paraId="2E2EB03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w:t>
            </w:r>
          </w:p>
        </w:tc>
        <w:tc>
          <w:tcPr>
            <w:tcW w:w="1073" w:type="dxa"/>
            <w:tcBorders>
              <w:top w:val="single" w:sz="4" w:space="0" w:color="7F7F7F"/>
              <w:bottom w:val="single" w:sz="4" w:space="0" w:color="7F7F7F"/>
            </w:tcBorders>
            <w:shd w:val="clear" w:color="auto" w:fill="auto"/>
            <w:vAlign w:val="center"/>
          </w:tcPr>
          <w:p w14:paraId="502B723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17" w:type="dxa"/>
            <w:tcBorders>
              <w:top w:val="single" w:sz="4" w:space="0" w:color="7F7F7F"/>
              <w:bottom w:val="single" w:sz="4" w:space="0" w:color="7F7F7F"/>
            </w:tcBorders>
            <w:shd w:val="clear" w:color="auto" w:fill="auto"/>
            <w:vAlign w:val="center"/>
          </w:tcPr>
          <w:p w14:paraId="2DC99D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c>
          <w:tcPr>
            <w:tcW w:w="1395" w:type="dxa"/>
            <w:tcBorders>
              <w:top w:val="single" w:sz="4" w:space="0" w:color="7F7F7F"/>
              <w:bottom w:val="single" w:sz="4" w:space="0" w:color="7F7F7F"/>
            </w:tcBorders>
            <w:shd w:val="clear" w:color="auto" w:fill="auto"/>
            <w:vAlign w:val="center"/>
          </w:tcPr>
          <w:p w14:paraId="2AA5178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5,5</w:t>
            </w:r>
          </w:p>
        </w:tc>
      </w:tr>
      <w:tr w:rsidR="002E584B" w:rsidRPr="004826D1" w14:paraId="3C7E094C" w14:textId="77777777" w:rsidTr="00336DC4">
        <w:trPr>
          <w:trHeight w:val="340"/>
          <w:jc w:val="center"/>
        </w:trPr>
        <w:tc>
          <w:tcPr>
            <w:tcW w:w="4351" w:type="dxa"/>
            <w:shd w:val="clear" w:color="auto" w:fill="auto"/>
            <w:vAlign w:val="center"/>
          </w:tcPr>
          <w:p w14:paraId="3B05CF1E"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RFNBO īpatsvars transportā (%)</w:t>
            </w:r>
          </w:p>
        </w:tc>
        <w:tc>
          <w:tcPr>
            <w:tcW w:w="1318" w:type="dxa"/>
            <w:shd w:val="clear" w:color="auto" w:fill="auto"/>
            <w:vAlign w:val="center"/>
          </w:tcPr>
          <w:p w14:paraId="68E7899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1595471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AD4CE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7100886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r>
      <w:tr w:rsidR="002E584B" w:rsidRPr="004826D1" w14:paraId="607372FE"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4A378AD7" w14:textId="77777777" w:rsidR="002E584B" w:rsidRPr="004826D1" w:rsidRDefault="00025808" w:rsidP="00336DC4">
            <w:pPr>
              <w:ind w:right="284"/>
              <w:jc w:val="center"/>
              <w:rPr>
                <w:rFonts w:cs="Times New Roman"/>
                <w:b/>
                <w:bCs/>
                <w:color w:val="000000"/>
                <w:sz w:val="22"/>
                <w:szCs w:val="22"/>
                <w:lang w:eastAsia="lv-LV"/>
              </w:rPr>
            </w:pPr>
            <w:hyperlink r:id="rId46" w:anchor="RANGE!A32" w:history="1">
              <w:r w:rsidR="002E584B" w:rsidRPr="004826D1">
                <w:rPr>
                  <w:rFonts w:eastAsia="Calibri" w:cs="Times New Roman"/>
                  <w:bCs/>
                  <w:sz w:val="22"/>
                  <w:szCs w:val="22"/>
                </w:rPr>
                <w:t>I</w:t>
              </w:r>
              <w:r w:rsidR="002E584B" w:rsidRPr="004826D1">
                <w:rPr>
                  <w:rFonts w:cs="Times New Roman"/>
                  <w:bCs/>
                  <w:color w:val="000000"/>
                  <w:sz w:val="22"/>
                  <w:szCs w:val="22"/>
                  <w:lang w:eastAsia="lv-LV"/>
                </w:rPr>
                <w:t>lgtspējīgo degvielu īpatsvars gaisa</w:t>
              </w:r>
            </w:hyperlink>
            <w:r w:rsidR="002E584B" w:rsidRPr="004826D1">
              <w:rPr>
                <w:rFonts w:cs="Times New Roman"/>
                <w:b/>
                <w:bCs/>
                <w:color w:val="000000"/>
                <w:sz w:val="22"/>
                <w:szCs w:val="22"/>
                <w:lang w:eastAsia="lv-LV"/>
              </w:rPr>
              <w:t xml:space="preserve"> </w:t>
            </w:r>
            <w:r w:rsidR="002E584B" w:rsidRPr="004826D1">
              <w:rPr>
                <w:rFonts w:cs="Times New Roman"/>
                <w:bCs/>
                <w:color w:val="000000"/>
                <w:sz w:val="22"/>
                <w:szCs w:val="22"/>
                <w:lang w:eastAsia="lv-LV"/>
              </w:rPr>
              <w:t>transportā (%)</w:t>
            </w:r>
          </w:p>
        </w:tc>
        <w:tc>
          <w:tcPr>
            <w:tcW w:w="1318" w:type="dxa"/>
            <w:tcBorders>
              <w:top w:val="single" w:sz="4" w:space="0" w:color="7F7F7F"/>
              <w:bottom w:val="single" w:sz="4" w:space="0" w:color="7F7F7F"/>
            </w:tcBorders>
            <w:shd w:val="clear" w:color="auto" w:fill="auto"/>
            <w:vAlign w:val="center"/>
          </w:tcPr>
          <w:p w14:paraId="4FD638F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tcBorders>
              <w:top w:val="single" w:sz="4" w:space="0" w:color="7F7F7F"/>
              <w:bottom w:val="single" w:sz="4" w:space="0" w:color="7F7F7F"/>
            </w:tcBorders>
            <w:shd w:val="clear" w:color="auto" w:fill="auto"/>
            <w:vAlign w:val="center"/>
          </w:tcPr>
          <w:p w14:paraId="685433E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tcBorders>
              <w:top w:val="single" w:sz="4" w:space="0" w:color="7F7F7F"/>
              <w:bottom w:val="single" w:sz="4" w:space="0" w:color="7F7F7F"/>
            </w:tcBorders>
            <w:shd w:val="clear" w:color="auto" w:fill="auto"/>
            <w:vAlign w:val="center"/>
          </w:tcPr>
          <w:p w14:paraId="0158B68F"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tcBorders>
              <w:top w:val="single" w:sz="4" w:space="0" w:color="7F7F7F"/>
              <w:bottom w:val="single" w:sz="4" w:space="0" w:color="7F7F7F"/>
            </w:tcBorders>
            <w:shd w:val="clear" w:color="auto" w:fill="auto"/>
            <w:vAlign w:val="center"/>
          </w:tcPr>
          <w:p w14:paraId="43604CE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w:t>
            </w:r>
          </w:p>
        </w:tc>
      </w:tr>
      <w:tr w:rsidR="002E584B" w:rsidRPr="004826D1" w14:paraId="4C0B9731" w14:textId="77777777" w:rsidTr="00336DC4">
        <w:trPr>
          <w:trHeight w:val="340"/>
          <w:jc w:val="center"/>
        </w:trPr>
        <w:tc>
          <w:tcPr>
            <w:tcW w:w="4351" w:type="dxa"/>
            <w:shd w:val="clear" w:color="auto" w:fill="auto"/>
            <w:vAlign w:val="center"/>
          </w:tcPr>
          <w:p w14:paraId="480F523D"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SEG emisiju intensitātes samazinājums konkrētiem kuģiem (%)</w:t>
            </w:r>
          </w:p>
        </w:tc>
        <w:tc>
          <w:tcPr>
            <w:tcW w:w="1318" w:type="dxa"/>
            <w:shd w:val="clear" w:color="auto" w:fill="auto"/>
            <w:vAlign w:val="center"/>
          </w:tcPr>
          <w:p w14:paraId="0ED2D1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48B9A96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5A3B31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shd w:val="clear" w:color="auto" w:fill="auto"/>
            <w:vAlign w:val="center"/>
          </w:tcPr>
          <w:p w14:paraId="441A9D2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w:t>
            </w:r>
          </w:p>
        </w:tc>
      </w:tr>
    </w:tbl>
    <w:p w14:paraId="73B40B37" w14:textId="77777777" w:rsidR="002E584B" w:rsidRPr="004826D1" w:rsidRDefault="002E584B" w:rsidP="002E584B">
      <w:pPr>
        <w:rPr>
          <w:rFonts w:cs="Times New Roman"/>
          <w:sz w:val="22"/>
          <w:szCs w:val="22"/>
        </w:rPr>
      </w:pPr>
    </w:p>
    <w:p w14:paraId="5D1F23B5" w14:textId="77777777" w:rsidR="008919C5" w:rsidRPr="004826D1" w:rsidRDefault="008919C5" w:rsidP="009A5918">
      <w:pPr>
        <w:pStyle w:val="Heading31"/>
        <w:rPr>
          <w:rFonts w:ascii="Times New Roman" w:hAnsi="Times New Roman"/>
          <w:sz w:val="22"/>
          <w:szCs w:val="22"/>
          <w:lang w:val="lv-LV"/>
        </w:rPr>
      </w:pPr>
    </w:p>
    <w:p w14:paraId="0EA9B1CC" w14:textId="77777777" w:rsidR="002E584B" w:rsidRPr="007A6B93" w:rsidRDefault="009A5918" w:rsidP="009A5918">
      <w:pPr>
        <w:pStyle w:val="Heading31"/>
        <w:rPr>
          <w:rFonts w:ascii="Times New Roman" w:hAnsi="Times New Roman"/>
          <w:sz w:val="24"/>
          <w:szCs w:val="24"/>
          <w:lang w:val="lv-LV"/>
        </w:rPr>
      </w:pPr>
      <w:bookmarkStart w:id="175" w:name="_Toc169602254"/>
      <w:r w:rsidRPr="007A6B93">
        <w:rPr>
          <w:rFonts w:ascii="Times New Roman" w:hAnsi="Times New Roman"/>
          <w:sz w:val="24"/>
          <w:szCs w:val="24"/>
          <w:lang w:val="lv-LV"/>
        </w:rPr>
        <w:t>3.2.2.</w:t>
      </w:r>
      <w:r w:rsidR="002E584B" w:rsidRPr="007A6B93">
        <w:rPr>
          <w:rFonts w:ascii="Times New Roman" w:hAnsi="Times New Roman"/>
          <w:sz w:val="24"/>
          <w:szCs w:val="24"/>
          <w:lang w:val="lv-LV"/>
        </w:rPr>
        <w:t xml:space="preserve">2. </w:t>
      </w:r>
      <w:r w:rsidRPr="007A6B93">
        <w:rPr>
          <w:rFonts w:ascii="Times New Roman" w:hAnsi="Times New Roman"/>
          <w:sz w:val="24"/>
          <w:szCs w:val="24"/>
          <w:lang w:val="lv-LV"/>
        </w:rPr>
        <w:t>Lauksaimniecībā s</w:t>
      </w:r>
      <w:r w:rsidR="002E584B" w:rsidRPr="007A6B93">
        <w:rPr>
          <w:rFonts w:ascii="Times New Roman" w:hAnsi="Times New Roman"/>
          <w:sz w:val="24"/>
          <w:szCs w:val="24"/>
          <w:lang w:val="lv-LV"/>
        </w:rPr>
        <w:t>asniedzamie mērķi</w:t>
      </w:r>
      <w:bookmarkEnd w:id="175"/>
    </w:p>
    <w:tbl>
      <w:tblPr>
        <w:tblW w:w="9072" w:type="dxa"/>
        <w:jc w:val="center"/>
        <w:tblBorders>
          <w:top w:val="single" w:sz="4" w:space="0" w:color="7F7F7F"/>
          <w:bottom w:val="single" w:sz="4" w:space="0" w:color="7F7F7F"/>
        </w:tblBorders>
        <w:tblLook w:val="04A0" w:firstRow="1" w:lastRow="0" w:firstColumn="1" w:lastColumn="0" w:noHBand="0" w:noVBand="1"/>
      </w:tblPr>
      <w:tblGrid>
        <w:gridCol w:w="5757"/>
        <w:gridCol w:w="950"/>
        <w:gridCol w:w="950"/>
        <w:gridCol w:w="222"/>
        <w:gridCol w:w="1193"/>
      </w:tblGrid>
      <w:tr w:rsidR="002E584B" w:rsidRPr="004826D1" w14:paraId="405560A5" w14:textId="77777777" w:rsidTr="00336DC4">
        <w:trPr>
          <w:trHeight w:val="644"/>
          <w:jc w:val="center"/>
        </w:trPr>
        <w:tc>
          <w:tcPr>
            <w:tcW w:w="5873" w:type="dxa"/>
            <w:tcBorders>
              <w:bottom w:val="single" w:sz="4" w:space="0" w:color="7F7F7F"/>
            </w:tcBorders>
            <w:shd w:val="clear" w:color="auto" w:fill="auto"/>
            <w:vAlign w:val="center"/>
          </w:tcPr>
          <w:p w14:paraId="1F1686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900" w:type="dxa"/>
            <w:tcBorders>
              <w:bottom w:val="single" w:sz="4" w:space="0" w:color="7F7F7F"/>
            </w:tcBorders>
            <w:shd w:val="clear" w:color="auto" w:fill="auto"/>
          </w:tcPr>
          <w:p w14:paraId="3E3F0A7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38171D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881" w:type="dxa"/>
            <w:tcBorders>
              <w:bottom w:val="single" w:sz="4" w:space="0" w:color="7F7F7F"/>
            </w:tcBorders>
            <w:shd w:val="clear" w:color="auto" w:fill="auto"/>
          </w:tcPr>
          <w:p w14:paraId="67F818B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222" w:type="dxa"/>
            <w:tcBorders>
              <w:bottom w:val="single" w:sz="4" w:space="0" w:color="7F7F7F"/>
            </w:tcBorders>
            <w:shd w:val="clear" w:color="auto" w:fill="auto"/>
          </w:tcPr>
          <w:p w14:paraId="33D8403A" w14:textId="77777777" w:rsidR="002E584B" w:rsidRPr="004826D1" w:rsidRDefault="002E584B" w:rsidP="00336DC4">
            <w:pPr>
              <w:jc w:val="center"/>
              <w:rPr>
                <w:rFonts w:eastAsia="Calibri" w:cs="Times New Roman"/>
                <w:b/>
                <w:bCs/>
                <w:color w:val="000000"/>
                <w:sz w:val="22"/>
                <w:szCs w:val="22"/>
              </w:rPr>
            </w:pPr>
          </w:p>
        </w:tc>
        <w:tc>
          <w:tcPr>
            <w:tcW w:w="1196" w:type="dxa"/>
            <w:tcBorders>
              <w:bottom w:val="single" w:sz="4" w:space="0" w:color="7F7F7F"/>
            </w:tcBorders>
            <w:shd w:val="clear" w:color="auto" w:fill="auto"/>
            <w:vAlign w:val="center"/>
          </w:tcPr>
          <w:p w14:paraId="0A24C99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 2030</w:t>
            </w:r>
          </w:p>
        </w:tc>
      </w:tr>
      <w:tr w:rsidR="002E584B" w:rsidRPr="004826D1" w14:paraId="07F890E8" w14:textId="77777777" w:rsidTr="00336DC4">
        <w:trPr>
          <w:trHeight w:val="293"/>
          <w:jc w:val="center"/>
        </w:trPr>
        <w:tc>
          <w:tcPr>
            <w:tcW w:w="5873" w:type="dxa"/>
            <w:tcBorders>
              <w:top w:val="single" w:sz="4" w:space="0" w:color="7F7F7F"/>
              <w:bottom w:val="single" w:sz="4" w:space="0" w:color="7F7F7F"/>
            </w:tcBorders>
            <w:shd w:val="clear" w:color="auto" w:fill="auto"/>
            <w:vAlign w:val="center"/>
          </w:tcPr>
          <w:p w14:paraId="266970C9" w14:textId="77777777" w:rsidR="002E584B" w:rsidRPr="004826D1" w:rsidRDefault="002E584B" w:rsidP="00336DC4">
            <w:pPr>
              <w:rPr>
                <w:rFonts w:eastAsia="Calibri" w:cs="Times New Roman"/>
                <w:b/>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900" w:type="dxa"/>
            <w:tcBorders>
              <w:top w:val="single" w:sz="4" w:space="0" w:color="7F7F7F"/>
              <w:bottom w:val="single" w:sz="4" w:space="0" w:color="7F7F7F"/>
            </w:tcBorders>
            <w:shd w:val="clear" w:color="auto" w:fill="auto"/>
            <w:vAlign w:val="center"/>
          </w:tcPr>
          <w:p w14:paraId="3618968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881" w:type="dxa"/>
            <w:tcBorders>
              <w:top w:val="single" w:sz="4" w:space="0" w:color="7F7F7F"/>
              <w:bottom w:val="single" w:sz="4" w:space="0" w:color="7F7F7F"/>
            </w:tcBorders>
            <w:shd w:val="clear" w:color="auto" w:fill="auto"/>
          </w:tcPr>
          <w:p w14:paraId="6852914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222" w:type="dxa"/>
            <w:tcBorders>
              <w:top w:val="single" w:sz="4" w:space="0" w:color="7F7F7F"/>
              <w:bottom w:val="single" w:sz="4" w:space="0" w:color="7F7F7F"/>
            </w:tcBorders>
            <w:shd w:val="clear" w:color="auto" w:fill="auto"/>
          </w:tcPr>
          <w:p w14:paraId="429C3665" w14:textId="77777777" w:rsidR="002E584B" w:rsidRPr="004826D1" w:rsidRDefault="002E584B" w:rsidP="00336DC4">
            <w:pPr>
              <w:jc w:val="center"/>
              <w:rPr>
                <w:rFonts w:eastAsia="Calibri" w:cs="Times New Roman"/>
                <w:color w:val="000000"/>
                <w:sz w:val="22"/>
                <w:szCs w:val="22"/>
              </w:rPr>
            </w:pPr>
          </w:p>
        </w:tc>
        <w:tc>
          <w:tcPr>
            <w:tcW w:w="1196" w:type="dxa"/>
            <w:tcBorders>
              <w:top w:val="single" w:sz="4" w:space="0" w:color="7F7F7F"/>
              <w:bottom w:val="single" w:sz="4" w:space="0" w:color="7F7F7F"/>
            </w:tcBorders>
            <w:shd w:val="clear" w:color="auto" w:fill="auto"/>
            <w:vAlign w:val="center"/>
          </w:tcPr>
          <w:p w14:paraId="7DDFA63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w:t>
            </w:r>
          </w:p>
        </w:tc>
      </w:tr>
    </w:tbl>
    <w:p w14:paraId="65DBD0BF" w14:textId="77777777" w:rsidR="009A5918" w:rsidRPr="004826D1" w:rsidRDefault="009A5918" w:rsidP="002E584B">
      <w:pPr>
        <w:pStyle w:val="Heading31"/>
        <w:rPr>
          <w:rFonts w:ascii="Times New Roman" w:hAnsi="Times New Roman"/>
          <w:sz w:val="22"/>
          <w:szCs w:val="22"/>
          <w:lang w:val="lv-LV"/>
        </w:rPr>
      </w:pPr>
    </w:p>
    <w:p w14:paraId="3CE41FA1" w14:textId="77777777" w:rsidR="008919C5" w:rsidRPr="004826D1" w:rsidRDefault="008919C5" w:rsidP="009A5918">
      <w:pPr>
        <w:pStyle w:val="Heading31"/>
        <w:rPr>
          <w:rFonts w:ascii="Times New Roman" w:hAnsi="Times New Roman"/>
          <w:sz w:val="22"/>
          <w:szCs w:val="22"/>
          <w:lang w:val="lv-LV"/>
        </w:rPr>
      </w:pPr>
    </w:p>
    <w:p w14:paraId="169E4114" w14:textId="77777777" w:rsidR="002E584B" w:rsidRPr="007A6B93" w:rsidRDefault="002E584B" w:rsidP="009A5918">
      <w:pPr>
        <w:pStyle w:val="Heading31"/>
        <w:rPr>
          <w:rFonts w:ascii="Times New Roman" w:hAnsi="Times New Roman"/>
          <w:sz w:val="24"/>
          <w:szCs w:val="24"/>
          <w:lang w:val="lv-LV"/>
        </w:rPr>
      </w:pPr>
      <w:bookmarkStart w:id="176" w:name="_Toc169602255"/>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.3. Elektroenerģijas un siltumenerģijas ražošan</w:t>
      </w:r>
      <w:r w:rsidR="009A5918" w:rsidRPr="007A6B93">
        <w:rPr>
          <w:rFonts w:ascii="Times New Roman" w:hAnsi="Times New Roman"/>
          <w:sz w:val="24"/>
          <w:szCs w:val="24"/>
          <w:lang w:val="lv-LV"/>
        </w:rPr>
        <w:t>ā</w:t>
      </w:r>
      <w:r w:rsidRPr="007A6B93">
        <w:rPr>
          <w:rFonts w:ascii="Times New Roman" w:hAnsi="Times New Roman"/>
          <w:sz w:val="24"/>
          <w:szCs w:val="24"/>
          <w:lang w:val="lv-LV"/>
        </w:rPr>
        <w:t xml:space="preserve"> un izmantošan</w:t>
      </w:r>
      <w:r w:rsidR="009A5918" w:rsidRPr="007A6B93">
        <w:rPr>
          <w:rFonts w:ascii="Times New Roman" w:hAnsi="Times New Roman"/>
          <w:sz w:val="24"/>
          <w:szCs w:val="24"/>
          <w:lang w:val="lv-LV"/>
        </w:rPr>
        <w:t>ā sasniedzamie mērķi</w:t>
      </w:r>
      <w:bookmarkEnd w:id="176"/>
    </w:p>
    <w:tbl>
      <w:tblPr>
        <w:tblW w:w="9354" w:type="dxa"/>
        <w:jc w:val="center"/>
        <w:tblBorders>
          <w:top w:val="single" w:sz="4" w:space="0" w:color="7F7F7F"/>
          <w:bottom w:val="single" w:sz="4" w:space="0" w:color="7F7F7F"/>
        </w:tblBorders>
        <w:tblLook w:val="04A0" w:firstRow="1" w:lastRow="0" w:firstColumn="1" w:lastColumn="0" w:noHBand="0" w:noVBand="1"/>
      </w:tblPr>
      <w:tblGrid>
        <w:gridCol w:w="5470"/>
        <w:gridCol w:w="1323"/>
        <w:gridCol w:w="1209"/>
        <w:gridCol w:w="1352"/>
      </w:tblGrid>
      <w:tr w:rsidR="002E584B" w:rsidRPr="004826D1" w14:paraId="49CCCD2C" w14:textId="77777777" w:rsidTr="00336DC4">
        <w:trPr>
          <w:trHeight w:val="620"/>
          <w:jc w:val="center"/>
        </w:trPr>
        <w:tc>
          <w:tcPr>
            <w:tcW w:w="5470" w:type="dxa"/>
            <w:tcBorders>
              <w:bottom w:val="single" w:sz="4" w:space="0" w:color="7F7F7F"/>
            </w:tcBorders>
            <w:shd w:val="clear" w:color="auto" w:fill="auto"/>
            <w:vAlign w:val="center"/>
          </w:tcPr>
          <w:p w14:paraId="50334AB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323" w:type="dxa"/>
            <w:tcBorders>
              <w:bottom w:val="single" w:sz="4" w:space="0" w:color="7F7F7F"/>
            </w:tcBorders>
            <w:shd w:val="clear" w:color="auto" w:fill="auto"/>
          </w:tcPr>
          <w:p w14:paraId="5AC6665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209" w:type="dxa"/>
            <w:tcBorders>
              <w:bottom w:val="single" w:sz="4" w:space="0" w:color="7F7F7F"/>
            </w:tcBorders>
            <w:shd w:val="clear" w:color="auto" w:fill="auto"/>
          </w:tcPr>
          <w:p w14:paraId="0851B86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21B3CB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352" w:type="dxa"/>
            <w:tcBorders>
              <w:bottom w:val="single" w:sz="4" w:space="0" w:color="7F7F7F"/>
            </w:tcBorders>
            <w:shd w:val="clear" w:color="auto" w:fill="auto"/>
            <w:vAlign w:val="center"/>
          </w:tcPr>
          <w:p w14:paraId="29F57D1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5EC00E5A"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0E7E773"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23" w:type="dxa"/>
            <w:tcBorders>
              <w:top w:val="single" w:sz="4" w:space="0" w:color="7F7F7F"/>
              <w:bottom w:val="single" w:sz="4" w:space="0" w:color="7F7F7F"/>
            </w:tcBorders>
            <w:shd w:val="clear" w:color="auto" w:fill="auto"/>
            <w:vAlign w:val="center"/>
          </w:tcPr>
          <w:p w14:paraId="6BA7182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-5,2</w:t>
            </w:r>
          </w:p>
        </w:tc>
        <w:tc>
          <w:tcPr>
            <w:tcW w:w="1209" w:type="dxa"/>
            <w:tcBorders>
              <w:top w:val="single" w:sz="4" w:space="0" w:color="7F7F7F"/>
              <w:bottom w:val="single" w:sz="4" w:space="0" w:color="7F7F7F"/>
            </w:tcBorders>
            <w:shd w:val="clear" w:color="auto" w:fill="auto"/>
            <w:vAlign w:val="center"/>
          </w:tcPr>
          <w:p w14:paraId="0456167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-11,5</w:t>
            </w:r>
          </w:p>
        </w:tc>
        <w:tc>
          <w:tcPr>
            <w:tcW w:w="1352" w:type="dxa"/>
            <w:tcBorders>
              <w:top w:val="single" w:sz="4" w:space="0" w:color="7F7F7F"/>
              <w:bottom w:val="single" w:sz="4" w:space="0" w:color="7F7F7F"/>
            </w:tcBorders>
            <w:shd w:val="clear" w:color="auto" w:fill="auto"/>
            <w:vAlign w:val="center"/>
          </w:tcPr>
          <w:p w14:paraId="75A8909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-27</w:t>
            </w:r>
          </w:p>
        </w:tc>
      </w:tr>
      <w:tr w:rsidR="002E584B" w:rsidRPr="004826D1" w14:paraId="52B91A20" w14:textId="77777777" w:rsidTr="00336DC4">
        <w:trPr>
          <w:trHeight w:val="454"/>
          <w:jc w:val="center"/>
        </w:trPr>
        <w:tc>
          <w:tcPr>
            <w:tcW w:w="5470" w:type="dxa"/>
            <w:shd w:val="clear" w:color="auto" w:fill="auto"/>
            <w:vAlign w:val="center"/>
          </w:tcPr>
          <w:p w14:paraId="08F38BB5" w14:textId="77777777" w:rsidR="002E584B" w:rsidRPr="004826D1" w:rsidRDefault="002E584B" w:rsidP="00336DC4">
            <w:pPr>
              <w:rPr>
                <w:rFonts w:eastAsia="Calibri" w:cs="Times New Roman"/>
                <w:b/>
                <w:bCs/>
                <w:color w:val="000000"/>
                <w:sz w:val="22"/>
                <w:szCs w:val="22"/>
              </w:rPr>
            </w:pPr>
            <w:r w:rsidRPr="004826D1">
              <w:rPr>
                <w:rFonts w:eastAsia="Calibri" w:cs="Times New Roman"/>
                <w:bCs/>
                <w:color w:val="000000"/>
                <w:sz w:val="22"/>
                <w:szCs w:val="22"/>
              </w:rPr>
              <w:t>Atjaunīgās elektroenerģijas īpatsvars elektroenerģijas galapatēriņā (%)</w:t>
            </w:r>
          </w:p>
        </w:tc>
        <w:tc>
          <w:tcPr>
            <w:tcW w:w="1323" w:type="dxa"/>
            <w:shd w:val="clear" w:color="auto" w:fill="auto"/>
            <w:vAlign w:val="center"/>
          </w:tcPr>
          <w:p w14:paraId="02435FA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51,4</w:t>
            </w:r>
          </w:p>
        </w:tc>
        <w:tc>
          <w:tcPr>
            <w:tcW w:w="1209" w:type="dxa"/>
            <w:shd w:val="clear" w:color="auto" w:fill="auto"/>
            <w:vAlign w:val="center"/>
          </w:tcPr>
          <w:p w14:paraId="6DB8FBF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53,5</w:t>
            </w:r>
          </w:p>
        </w:tc>
        <w:tc>
          <w:tcPr>
            <w:tcW w:w="1352" w:type="dxa"/>
            <w:shd w:val="clear" w:color="auto" w:fill="auto"/>
            <w:vAlign w:val="center"/>
          </w:tcPr>
          <w:p w14:paraId="6CA6B6A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&gt;70</w:t>
            </w:r>
          </w:p>
        </w:tc>
      </w:tr>
      <w:tr w:rsidR="002E584B" w:rsidRPr="004826D1" w14:paraId="0DE447E6"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222C1D29" w14:textId="77777777" w:rsidR="002E584B" w:rsidRPr="004826D1" w:rsidRDefault="002E584B" w:rsidP="00336DC4">
            <w:pPr>
              <w:rPr>
                <w:rFonts w:eastAsia="Calibri" w:cs="Times New Roman"/>
                <w:color w:val="000000"/>
                <w:sz w:val="22"/>
                <w:szCs w:val="22"/>
              </w:rPr>
            </w:pPr>
            <w:r w:rsidRPr="004826D1">
              <w:rPr>
                <w:rFonts w:eastAsia="Calibri" w:cs="Times New Roman"/>
                <w:bCs/>
                <w:color w:val="000000"/>
                <w:sz w:val="22"/>
                <w:szCs w:val="22"/>
              </w:rPr>
              <w:t>Atjaunīgās elektroenerģijas īpatsvars saražotajā elektroenerģijā (%)</w:t>
            </w:r>
          </w:p>
        </w:tc>
        <w:tc>
          <w:tcPr>
            <w:tcW w:w="1323" w:type="dxa"/>
            <w:tcBorders>
              <w:top w:val="single" w:sz="4" w:space="0" w:color="7F7F7F"/>
              <w:bottom w:val="single" w:sz="4" w:space="0" w:color="7F7F7F"/>
            </w:tcBorders>
            <w:shd w:val="clear" w:color="auto" w:fill="auto"/>
            <w:vAlign w:val="center"/>
          </w:tcPr>
          <w:p w14:paraId="1167781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63,6</w:t>
            </w:r>
          </w:p>
        </w:tc>
        <w:tc>
          <w:tcPr>
            <w:tcW w:w="1209" w:type="dxa"/>
            <w:tcBorders>
              <w:top w:val="single" w:sz="4" w:space="0" w:color="7F7F7F"/>
              <w:bottom w:val="single" w:sz="4" w:space="0" w:color="7F7F7F"/>
            </w:tcBorders>
            <w:shd w:val="clear" w:color="auto" w:fill="auto"/>
            <w:vAlign w:val="center"/>
          </w:tcPr>
          <w:p w14:paraId="497643FF"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75,7</w:t>
            </w:r>
          </w:p>
        </w:tc>
        <w:tc>
          <w:tcPr>
            <w:tcW w:w="1352" w:type="dxa"/>
            <w:tcBorders>
              <w:top w:val="single" w:sz="4" w:space="0" w:color="7F7F7F"/>
              <w:bottom w:val="single" w:sz="4" w:space="0" w:color="7F7F7F"/>
            </w:tcBorders>
            <w:shd w:val="clear" w:color="auto" w:fill="auto"/>
            <w:vAlign w:val="center"/>
          </w:tcPr>
          <w:p w14:paraId="591B7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100</w:t>
            </w:r>
          </w:p>
        </w:tc>
      </w:tr>
      <w:tr w:rsidR="002E584B" w:rsidRPr="004826D1" w14:paraId="4B3225EA" w14:textId="77777777" w:rsidTr="00336DC4">
        <w:trPr>
          <w:trHeight w:val="454"/>
          <w:jc w:val="center"/>
        </w:trPr>
        <w:tc>
          <w:tcPr>
            <w:tcW w:w="5470" w:type="dxa"/>
            <w:shd w:val="clear" w:color="auto" w:fill="auto"/>
            <w:vAlign w:val="center"/>
          </w:tcPr>
          <w:p w14:paraId="09A6EF11" w14:textId="77777777" w:rsidR="002E584B" w:rsidRPr="004826D1" w:rsidRDefault="00025808" w:rsidP="009A5918">
            <w:pPr>
              <w:rPr>
                <w:rFonts w:eastAsia="Calibri" w:cs="Times New Roman"/>
                <w:b/>
                <w:bCs/>
                <w:color w:val="000000"/>
                <w:sz w:val="22"/>
                <w:szCs w:val="22"/>
              </w:rPr>
            </w:pPr>
            <w:hyperlink r:id="rId47" w:anchor="RANGE!_ftn2" w:history="1">
              <w:r w:rsidR="002E584B" w:rsidRPr="004826D1">
                <w:rPr>
                  <w:rFonts w:cs="Times New Roman"/>
                  <w:color w:val="000000"/>
                  <w:sz w:val="22"/>
                  <w:szCs w:val="22"/>
                  <w:lang w:eastAsia="lv-LV"/>
                </w:rPr>
                <w:t>AE īpatsvars siltumapgādē un aukstumapgādē (%)</w:t>
              </w:r>
            </w:hyperlink>
          </w:p>
        </w:tc>
        <w:tc>
          <w:tcPr>
            <w:tcW w:w="1323" w:type="dxa"/>
            <w:shd w:val="clear" w:color="auto" w:fill="auto"/>
            <w:vAlign w:val="center"/>
          </w:tcPr>
          <w:p w14:paraId="642E0E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57,4</w:t>
            </w:r>
          </w:p>
        </w:tc>
        <w:tc>
          <w:tcPr>
            <w:tcW w:w="1209" w:type="dxa"/>
            <w:shd w:val="clear" w:color="auto" w:fill="auto"/>
            <w:vAlign w:val="center"/>
          </w:tcPr>
          <w:p w14:paraId="55F329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61,0</w:t>
            </w:r>
          </w:p>
        </w:tc>
        <w:tc>
          <w:tcPr>
            <w:tcW w:w="1352" w:type="dxa"/>
            <w:shd w:val="clear" w:color="auto" w:fill="auto"/>
            <w:vAlign w:val="center"/>
          </w:tcPr>
          <w:p w14:paraId="6C8526E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66,4</w:t>
            </w:r>
          </w:p>
        </w:tc>
      </w:tr>
      <w:tr w:rsidR="002E584B" w:rsidRPr="004826D1" w14:paraId="6D799D1B"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DE54C43"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CSA un CAA (%)</w:t>
            </w:r>
          </w:p>
        </w:tc>
        <w:tc>
          <w:tcPr>
            <w:tcW w:w="1323" w:type="dxa"/>
            <w:tcBorders>
              <w:top w:val="single" w:sz="4" w:space="0" w:color="7F7F7F"/>
              <w:bottom w:val="single" w:sz="4" w:space="0" w:color="7F7F7F"/>
            </w:tcBorders>
            <w:shd w:val="clear" w:color="auto" w:fill="auto"/>
            <w:vAlign w:val="center"/>
          </w:tcPr>
          <w:p w14:paraId="40AB806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56,6</w:t>
            </w:r>
          </w:p>
        </w:tc>
        <w:tc>
          <w:tcPr>
            <w:tcW w:w="1209" w:type="dxa"/>
            <w:tcBorders>
              <w:top w:val="single" w:sz="4" w:space="0" w:color="7F7F7F"/>
              <w:bottom w:val="single" w:sz="4" w:space="0" w:color="7F7F7F"/>
            </w:tcBorders>
            <w:shd w:val="clear" w:color="auto" w:fill="auto"/>
            <w:vAlign w:val="center"/>
          </w:tcPr>
          <w:p w14:paraId="0E69D60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63,9</w:t>
            </w:r>
          </w:p>
        </w:tc>
        <w:tc>
          <w:tcPr>
            <w:tcW w:w="1352" w:type="dxa"/>
            <w:tcBorders>
              <w:top w:val="single" w:sz="4" w:space="0" w:color="7F7F7F"/>
              <w:bottom w:val="single" w:sz="4" w:space="0" w:color="7F7F7F"/>
            </w:tcBorders>
            <w:shd w:val="clear" w:color="auto" w:fill="auto"/>
            <w:vAlign w:val="center"/>
          </w:tcPr>
          <w:p w14:paraId="0D4364A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73,9</w:t>
            </w:r>
          </w:p>
        </w:tc>
      </w:tr>
      <w:tr w:rsidR="002E584B" w:rsidRPr="004826D1" w14:paraId="2E00ED0C" w14:textId="77777777" w:rsidTr="00336DC4">
        <w:trPr>
          <w:trHeight w:val="454"/>
          <w:jc w:val="center"/>
        </w:trPr>
        <w:tc>
          <w:tcPr>
            <w:tcW w:w="5470" w:type="dxa"/>
            <w:shd w:val="clear" w:color="auto" w:fill="auto"/>
            <w:vAlign w:val="center"/>
          </w:tcPr>
          <w:p w14:paraId="6D8CFC5B"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ēkās (%)</w:t>
            </w:r>
          </w:p>
        </w:tc>
        <w:tc>
          <w:tcPr>
            <w:tcW w:w="1323" w:type="dxa"/>
            <w:shd w:val="clear" w:color="auto" w:fill="auto"/>
            <w:vAlign w:val="center"/>
          </w:tcPr>
          <w:p w14:paraId="54BA307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57,2</w:t>
            </w:r>
          </w:p>
        </w:tc>
        <w:tc>
          <w:tcPr>
            <w:tcW w:w="1209" w:type="dxa"/>
            <w:shd w:val="clear" w:color="auto" w:fill="auto"/>
            <w:vAlign w:val="center"/>
          </w:tcPr>
          <w:p w14:paraId="05E1ED0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60,6</w:t>
            </w:r>
          </w:p>
        </w:tc>
        <w:tc>
          <w:tcPr>
            <w:tcW w:w="1352" w:type="dxa"/>
            <w:shd w:val="clear" w:color="auto" w:fill="auto"/>
            <w:vAlign w:val="center"/>
          </w:tcPr>
          <w:p w14:paraId="474E9D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65</w:t>
            </w:r>
          </w:p>
        </w:tc>
      </w:tr>
      <w:tr w:rsidR="002E584B" w:rsidRPr="004826D1" w14:paraId="19727925"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74929F80"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rūpniecībā un IKT nozarē (%)</w:t>
            </w:r>
          </w:p>
        </w:tc>
        <w:tc>
          <w:tcPr>
            <w:tcW w:w="1323" w:type="dxa"/>
            <w:tcBorders>
              <w:top w:val="single" w:sz="4" w:space="0" w:color="7F7F7F"/>
              <w:bottom w:val="single" w:sz="4" w:space="0" w:color="7F7F7F"/>
            </w:tcBorders>
            <w:shd w:val="clear" w:color="auto" w:fill="auto"/>
            <w:vAlign w:val="center"/>
          </w:tcPr>
          <w:p w14:paraId="37FDEFE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58,5</w:t>
            </w:r>
          </w:p>
        </w:tc>
        <w:tc>
          <w:tcPr>
            <w:tcW w:w="1209" w:type="dxa"/>
            <w:tcBorders>
              <w:top w:val="single" w:sz="4" w:space="0" w:color="7F7F7F"/>
              <w:bottom w:val="single" w:sz="4" w:space="0" w:color="7F7F7F"/>
            </w:tcBorders>
            <w:shd w:val="clear" w:color="auto" w:fill="auto"/>
            <w:vAlign w:val="center"/>
          </w:tcPr>
          <w:p w14:paraId="23E95B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63,2</w:t>
            </w:r>
          </w:p>
        </w:tc>
        <w:tc>
          <w:tcPr>
            <w:tcW w:w="1352" w:type="dxa"/>
            <w:tcBorders>
              <w:top w:val="single" w:sz="4" w:space="0" w:color="7F7F7F"/>
              <w:bottom w:val="single" w:sz="4" w:space="0" w:color="7F7F7F"/>
            </w:tcBorders>
            <w:shd w:val="clear" w:color="auto" w:fill="auto"/>
            <w:vAlign w:val="center"/>
          </w:tcPr>
          <w:p w14:paraId="4A5E29B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73,1</w:t>
            </w:r>
          </w:p>
        </w:tc>
      </w:tr>
      <w:tr w:rsidR="002E584B" w:rsidRPr="004826D1" w14:paraId="3E9DC867" w14:textId="77777777" w:rsidTr="00336DC4">
        <w:trPr>
          <w:trHeight w:val="454"/>
          <w:jc w:val="center"/>
        </w:trPr>
        <w:tc>
          <w:tcPr>
            <w:tcW w:w="5470" w:type="dxa"/>
            <w:shd w:val="clear" w:color="auto" w:fill="auto"/>
            <w:vAlign w:val="center"/>
          </w:tcPr>
          <w:p w14:paraId="579E2DFF" w14:textId="77777777" w:rsidR="002E584B" w:rsidRPr="004826D1" w:rsidRDefault="002E584B" w:rsidP="009A5918">
            <w:pPr>
              <w:rPr>
                <w:rFonts w:eastAsia="Calibri" w:cs="Times New Roman"/>
                <w:b/>
                <w:bCs/>
                <w:color w:val="000000"/>
                <w:sz w:val="22"/>
                <w:szCs w:val="22"/>
              </w:rPr>
            </w:pPr>
            <w:r w:rsidRPr="004826D1">
              <w:rPr>
                <w:rFonts w:cs="Times New Roman"/>
                <w:color w:val="000000"/>
                <w:sz w:val="22"/>
                <w:szCs w:val="22"/>
                <w:lang w:eastAsia="lv-LV"/>
              </w:rPr>
              <w:t>AE īpatsvars lauksaimniecībā, mežsaimniecībā un zivsaimniecībā (%)</w:t>
            </w:r>
          </w:p>
        </w:tc>
        <w:tc>
          <w:tcPr>
            <w:tcW w:w="1323" w:type="dxa"/>
            <w:shd w:val="clear" w:color="auto" w:fill="auto"/>
            <w:vAlign w:val="center"/>
          </w:tcPr>
          <w:p w14:paraId="6A577A4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18</w:t>
            </w:r>
          </w:p>
        </w:tc>
        <w:tc>
          <w:tcPr>
            <w:tcW w:w="1209" w:type="dxa"/>
            <w:shd w:val="clear" w:color="auto" w:fill="auto"/>
            <w:vAlign w:val="center"/>
          </w:tcPr>
          <w:p w14:paraId="38FA220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17,5</w:t>
            </w:r>
          </w:p>
        </w:tc>
        <w:tc>
          <w:tcPr>
            <w:tcW w:w="1352" w:type="dxa"/>
            <w:shd w:val="clear" w:color="auto" w:fill="auto"/>
            <w:vAlign w:val="center"/>
          </w:tcPr>
          <w:p w14:paraId="6EF8172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30</w:t>
            </w:r>
          </w:p>
        </w:tc>
      </w:tr>
    </w:tbl>
    <w:p w14:paraId="461DF3F4" w14:textId="77777777" w:rsidR="009A5918" w:rsidRPr="004826D1" w:rsidRDefault="009A5918" w:rsidP="002E584B">
      <w:pPr>
        <w:pStyle w:val="ListParagraph1"/>
        <w:tabs>
          <w:tab w:val="left" w:pos="851"/>
        </w:tabs>
        <w:ind w:left="0"/>
        <w:contextualSpacing w:val="0"/>
        <w:jc w:val="both"/>
        <w:rPr>
          <w:rFonts w:cs="Times New Roman"/>
          <w:color w:val="000000"/>
          <w:szCs w:val="22"/>
          <w:lang w:eastAsia="lv-LV"/>
        </w:rPr>
      </w:pPr>
    </w:p>
    <w:p w14:paraId="0624BDFF" w14:textId="77777777" w:rsidR="002E584B" w:rsidRPr="004826D1" w:rsidRDefault="002E584B" w:rsidP="002E584B">
      <w:pPr>
        <w:jc w:val="both"/>
        <w:rPr>
          <w:rFonts w:cs="Times New Roman"/>
          <w:sz w:val="22"/>
          <w:szCs w:val="22"/>
          <w:lang w:eastAsia="lv-LV"/>
        </w:rPr>
      </w:pPr>
    </w:p>
    <w:p w14:paraId="4A9997C2" w14:textId="77777777" w:rsidR="002E584B" w:rsidRPr="007A6B93" w:rsidRDefault="002E584B" w:rsidP="009A5918">
      <w:pPr>
        <w:pStyle w:val="Heading31"/>
        <w:rPr>
          <w:rFonts w:ascii="Times New Roman" w:hAnsi="Times New Roman"/>
          <w:sz w:val="24"/>
          <w:szCs w:val="24"/>
          <w:lang w:val="lv-LV"/>
        </w:rPr>
      </w:pPr>
      <w:bookmarkStart w:id="177" w:name="_Toc169602256"/>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.4. Atkritumu un notekūdeņu apsaimniekošan</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7"/>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323"/>
        <w:gridCol w:w="962"/>
        <w:gridCol w:w="1262"/>
      </w:tblGrid>
      <w:tr w:rsidR="002E584B" w:rsidRPr="004826D1" w14:paraId="7D86C8EC" w14:textId="77777777" w:rsidTr="00336DC4">
        <w:trPr>
          <w:trHeight w:val="620"/>
          <w:jc w:val="center"/>
        </w:trPr>
        <w:tc>
          <w:tcPr>
            <w:tcW w:w="5456" w:type="dxa"/>
            <w:tcBorders>
              <w:bottom w:val="single" w:sz="4" w:space="0" w:color="7F7F7F"/>
            </w:tcBorders>
            <w:shd w:val="clear" w:color="auto" w:fill="auto"/>
            <w:vAlign w:val="center"/>
          </w:tcPr>
          <w:p w14:paraId="015FC931"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 xml:space="preserve">MĒRĶRĀDĪTĀJS </w:t>
            </w:r>
          </w:p>
        </w:tc>
        <w:tc>
          <w:tcPr>
            <w:tcW w:w="1307" w:type="dxa"/>
            <w:tcBorders>
              <w:bottom w:val="single" w:sz="4" w:space="0" w:color="7F7F7F"/>
            </w:tcBorders>
            <w:shd w:val="clear" w:color="auto" w:fill="auto"/>
          </w:tcPr>
          <w:p w14:paraId="52B61CDD"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2F7E2FB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6FA48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246" w:type="dxa"/>
            <w:tcBorders>
              <w:bottom w:val="single" w:sz="4" w:space="0" w:color="7F7F7F"/>
            </w:tcBorders>
            <w:shd w:val="clear" w:color="auto" w:fill="auto"/>
            <w:vAlign w:val="center"/>
          </w:tcPr>
          <w:p w14:paraId="1AC47344"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49EA0864" w14:textId="77777777" w:rsidTr="00336DC4">
        <w:trPr>
          <w:trHeight w:val="20"/>
          <w:jc w:val="center"/>
        </w:trPr>
        <w:tc>
          <w:tcPr>
            <w:tcW w:w="5456" w:type="dxa"/>
            <w:tcBorders>
              <w:top w:val="single" w:sz="4" w:space="0" w:color="7F7F7F"/>
              <w:bottom w:val="single" w:sz="4" w:space="0" w:color="7F7F7F"/>
            </w:tcBorders>
            <w:shd w:val="clear" w:color="auto" w:fill="auto"/>
            <w:vAlign w:val="center"/>
          </w:tcPr>
          <w:p w14:paraId="36D7020B"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07" w:type="dxa"/>
            <w:tcBorders>
              <w:top w:val="single" w:sz="4" w:space="0" w:color="7F7F7F"/>
              <w:bottom w:val="single" w:sz="4" w:space="0" w:color="7F7F7F"/>
            </w:tcBorders>
            <w:shd w:val="clear" w:color="auto" w:fill="auto"/>
          </w:tcPr>
          <w:p w14:paraId="717620A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-17,4</w:t>
            </w:r>
          </w:p>
        </w:tc>
        <w:tc>
          <w:tcPr>
            <w:tcW w:w="0" w:type="dxa"/>
            <w:tcBorders>
              <w:top w:val="single" w:sz="4" w:space="0" w:color="7F7F7F"/>
              <w:bottom w:val="single" w:sz="4" w:space="0" w:color="7F7F7F"/>
            </w:tcBorders>
            <w:shd w:val="clear" w:color="auto" w:fill="auto"/>
          </w:tcPr>
          <w:p w14:paraId="5BCFC3D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-14,3</w:t>
            </w:r>
          </w:p>
        </w:tc>
        <w:tc>
          <w:tcPr>
            <w:tcW w:w="1246" w:type="dxa"/>
            <w:tcBorders>
              <w:top w:val="single" w:sz="4" w:space="0" w:color="7F7F7F"/>
              <w:bottom w:val="single" w:sz="4" w:space="0" w:color="7F7F7F"/>
            </w:tcBorders>
            <w:shd w:val="clear" w:color="auto" w:fill="auto"/>
            <w:vAlign w:val="center"/>
          </w:tcPr>
          <w:p w14:paraId="4C99F8C9"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-35</w:t>
            </w:r>
          </w:p>
        </w:tc>
      </w:tr>
    </w:tbl>
    <w:p w14:paraId="3250C835" w14:textId="77777777" w:rsidR="009A5918" w:rsidRPr="004826D1" w:rsidRDefault="009A5918" w:rsidP="002E584B">
      <w:pPr>
        <w:pStyle w:val="Heading31"/>
        <w:rPr>
          <w:rFonts w:ascii="Times New Roman" w:hAnsi="Times New Roman"/>
          <w:sz w:val="22"/>
          <w:szCs w:val="22"/>
          <w:lang w:val="lv-LV"/>
        </w:rPr>
      </w:pPr>
    </w:p>
    <w:p w14:paraId="601D77F6" w14:textId="77777777" w:rsidR="008919C5" w:rsidRPr="004826D1" w:rsidRDefault="008919C5" w:rsidP="009A5918">
      <w:pPr>
        <w:pStyle w:val="Heading31"/>
        <w:rPr>
          <w:rFonts w:ascii="Times New Roman" w:hAnsi="Times New Roman"/>
          <w:sz w:val="22"/>
          <w:szCs w:val="22"/>
          <w:lang w:val="lv-LV"/>
        </w:rPr>
      </w:pPr>
    </w:p>
    <w:p w14:paraId="659008FC" w14:textId="77777777" w:rsidR="002E584B" w:rsidRPr="007A6B93" w:rsidRDefault="002E584B" w:rsidP="009A5918">
      <w:pPr>
        <w:pStyle w:val="Heading31"/>
        <w:rPr>
          <w:rFonts w:ascii="Times New Roman" w:hAnsi="Times New Roman"/>
          <w:sz w:val="24"/>
          <w:szCs w:val="24"/>
          <w:lang w:val="lv-LV"/>
        </w:rPr>
      </w:pPr>
      <w:bookmarkStart w:id="178" w:name="_Toc169602257"/>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.5. RPPI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8"/>
    </w:p>
    <w:tbl>
      <w:tblPr>
        <w:tblW w:w="9071" w:type="dxa"/>
        <w:jc w:val="center"/>
        <w:tblBorders>
          <w:top w:val="single" w:sz="4" w:space="0" w:color="7F7F7F"/>
          <w:bottom w:val="single" w:sz="4" w:space="0" w:color="7F7F7F"/>
        </w:tblBorders>
        <w:tblLook w:val="04A0" w:firstRow="1" w:lastRow="0" w:firstColumn="1" w:lastColumn="0" w:noHBand="0" w:noVBand="1"/>
      </w:tblPr>
      <w:tblGrid>
        <w:gridCol w:w="5882"/>
        <w:gridCol w:w="1079"/>
        <w:gridCol w:w="955"/>
        <w:gridCol w:w="1155"/>
      </w:tblGrid>
      <w:tr w:rsidR="002E584B" w:rsidRPr="004826D1" w14:paraId="45D9EE60" w14:textId="77777777" w:rsidTr="00336DC4">
        <w:trPr>
          <w:trHeight w:val="340"/>
          <w:jc w:val="center"/>
        </w:trPr>
        <w:tc>
          <w:tcPr>
            <w:tcW w:w="5853" w:type="dxa"/>
            <w:tcBorders>
              <w:bottom w:val="single" w:sz="4" w:space="0" w:color="7F7F7F"/>
            </w:tcBorders>
            <w:shd w:val="clear" w:color="auto" w:fill="auto"/>
            <w:vAlign w:val="center"/>
          </w:tcPr>
          <w:p w14:paraId="61B5859C"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074" w:type="dxa"/>
            <w:tcBorders>
              <w:bottom w:val="single" w:sz="4" w:space="0" w:color="7F7F7F"/>
            </w:tcBorders>
            <w:shd w:val="clear" w:color="auto" w:fill="auto"/>
          </w:tcPr>
          <w:p w14:paraId="0BD3984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4F849C47"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2D6C1F25"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49" w:type="dxa"/>
            <w:tcBorders>
              <w:bottom w:val="single" w:sz="4" w:space="0" w:color="7F7F7F"/>
            </w:tcBorders>
            <w:shd w:val="clear" w:color="auto" w:fill="auto"/>
            <w:vAlign w:val="center"/>
          </w:tcPr>
          <w:p w14:paraId="27F38FA1"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2B160476" w14:textId="77777777" w:rsidTr="00336DC4">
        <w:trPr>
          <w:trHeight w:val="340"/>
          <w:jc w:val="center"/>
        </w:trPr>
        <w:tc>
          <w:tcPr>
            <w:tcW w:w="5853" w:type="dxa"/>
            <w:tcBorders>
              <w:top w:val="single" w:sz="4" w:space="0" w:color="7F7F7F"/>
              <w:bottom w:val="single" w:sz="4" w:space="0" w:color="7F7F7F"/>
            </w:tcBorders>
            <w:shd w:val="clear" w:color="auto" w:fill="auto"/>
            <w:vAlign w:val="center"/>
          </w:tcPr>
          <w:p w14:paraId="549ABF60"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074" w:type="dxa"/>
            <w:tcBorders>
              <w:top w:val="single" w:sz="4" w:space="0" w:color="7F7F7F"/>
              <w:bottom w:val="single" w:sz="4" w:space="0" w:color="7F7F7F"/>
            </w:tcBorders>
            <w:shd w:val="clear" w:color="auto" w:fill="auto"/>
          </w:tcPr>
          <w:p w14:paraId="4FACB24C"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+117,9</w:t>
            </w:r>
          </w:p>
        </w:tc>
        <w:tc>
          <w:tcPr>
            <w:tcW w:w="0" w:type="dxa"/>
            <w:tcBorders>
              <w:top w:val="single" w:sz="4" w:space="0" w:color="7F7F7F"/>
              <w:bottom w:val="single" w:sz="4" w:space="0" w:color="7F7F7F"/>
            </w:tcBorders>
            <w:shd w:val="clear" w:color="auto" w:fill="auto"/>
          </w:tcPr>
          <w:p w14:paraId="2F40E11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+101,2</w:t>
            </w:r>
          </w:p>
        </w:tc>
        <w:tc>
          <w:tcPr>
            <w:tcW w:w="1149" w:type="dxa"/>
            <w:tcBorders>
              <w:top w:val="single" w:sz="4" w:space="0" w:color="7F7F7F"/>
              <w:bottom w:val="single" w:sz="4" w:space="0" w:color="7F7F7F"/>
            </w:tcBorders>
            <w:shd w:val="clear" w:color="auto" w:fill="auto"/>
            <w:vAlign w:val="center"/>
          </w:tcPr>
          <w:p w14:paraId="6707A37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0</w:t>
            </w:r>
          </w:p>
        </w:tc>
      </w:tr>
    </w:tbl>
    <w:p w14:paraId="06B5F79D" w14:textId="77777777" w:rsidR="009A5918" w:rsidRPr="004826D1" w:rsidRDefault="009A5918" w:rsidP="009A5918">
      <w:pPr>
        <w:pStyle w:val="Heading31"/>
        <w:rPr>
          <w:rFonts w:ascii="Times New Roman" w:hAnsi="Times New Roman"/>
          <w:sz w:val="22"/>
          <w:szCs w:val="22"/>
          <w:lang w:val="lv-LV"/>
        </w:rPr>
      </w:pPr>
    </w:p>
    <w:p w14:paraId="0DE90639" w14:textId="77777777" w:rsidR="007A6B93" w:rsidRDefault="007A6B93" w:rsidP="009A5918">
      <w:pPr>
        <w:pStyle w:val="Heading31"/>
        <w:rPr>
          <w:rFonts w:ascii="Times New Roman" w:hAnsi="Times New Roman"/>
          <w:sz w:val="22"/>
          <w:szCs w:val="22"/>
          <w:lang w:val="lv-LV"/>
        </w:rPr>
      </w:pPr>
    </w:p>
    <w:p w14:paraId="3FA0776C" w14:textId="77777777" w:rsidR="002E584B" w:rsidRPr="007A6B93" w:rsidRDefault="002E584B" w:rsidP="009A5918">
      <w:pPr>
        <w:pStyle w:val="Heading31"/>
        <w:rPr>
          <w:rFonts w:ascii="Times New Roman" w:hAnsi="Times New Roman"/>
          <w:sz w:val="24"/>
          <w:szCs w:val="24"/>
          <w:lang w:val="lv-LV"/>
        </w:rPr>
      </w:pPr>
      <w:bookmarkStart w:id="179" w:name="_Toc169602258"/>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.6. ZIZIMM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9"/>
    </w:p>
    <w:tbl>
      <w:tblPr>
        <w:tblW w:w="9060" w:type="dxa"/>
        <w:jc w:val="center"/>
        <w:tblBorders>
          <w:top w:val="single" w:sz="4" w:space="0" w:color="7F7F7F"/>
          <w:bottom w:val="single" w:sz="4" w:space="0" w:color="7F7F7F"/>
        </w:tblBorders>
        <w:tblLook w:val="04A0" w:firstRow="1" w:lastRow="0" w:firstColumn="1" w:lastColumn="0" w:noHBand="0" w:noVBand="1"/>
      </w:tblPr>
      <w:tblGrid>
        <w:gridCol w:w="5579"/>
        <w:gridCol w:w="1177"/>
        <w:gridCol w:w="1177"/>
        <w:gridCol w:w="1127"/>
      </w:tblGrid>
      <w:tr w:rsidR="002E584B" w:rsidRPr="004826D1" w14:paraId="77359439" w14:textId="77777777" w:rsidTr="00336DC4">
        <w:trPr>
          <w:trHeight w:val="397"/>
          <w:jc w:val="center"/>
        </w:trPr>
        <w:tc>
          <w:tcPr>
            <w:tcW w:w="5579" w:type="dxa"/>
            <w:tcBorders>
              <w:bottom w:val="single" w:sz="4" w:space="0" w:color="7F7F7F"/>
            </w:tcBorders>
            <w:shd w:val="clear" w:color="auto" w:fill="auto"/>
            <w:vAlign w:val="center"/>
          </w:tcPr>
          <w:p w14:paraId="0A12455A"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177" w:type="dxa"/>
            <w:tcBorders>
              <w:bottom w:val="single" w:sz="4" w:space="0" w:color="7F7F7F"/>
            </w:tcBorders>
            <w:shd w:val="clear" w:color="auto" w:fill="auto"/>
            <w:vAlign w:val="center"/>
          </w:tcPr>
          <w:p w14:paraId="79FB3C5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177" w:type="dxa"/>
            <w:tcBorders>
              <w:bottom w:val="single" w:sz="4" w:space="0" w:color="7F7F7F"/>
            </w:tcBorders>
            <w:shd w:val="clear" w:color="auto" w:fill="auto"/>
            <w:vAlign w:val="center"/>
          </w:tcPr>
          <w:p w14:paraId="36480EE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1127" w:type="dxa"/>
            <w:tcBorders>
              <w:bottom w:val="single" w:sz="4" w:space="0" w:color="7F7F7F"/>
            </w:tcBorders>
            <w:shd w:val="clear" w:color="auto" w:fill="auto"/>
            <w:vAlign w:val="center"/>
          </w:tcPr>
          <w:p w14:paraId="0571BB92"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02943EA0" w14:textId="77777777" w:rsidTr="00336DC4">
        <w:trPr>
          <w:trHeight w:val="70"/>
          <w:jc w:val="center"/>
        </w:trPr>
        <w:tc>
          <w:tcPr>
            <w:tcW w:w="5579" w:type="dxa"/>
            <w:tcBorders>
              <w:top w:val="single" w:sz="4" w:space="0" w:color="7F7F7F"/>
              <w:bottom w:val="single" w:sz="4" w:space="0" w:color="7F7F7F"/>
            </w:tcBorders>
            <w:shd w:val="clear" w:color="auto" w:fill="auto"/>
            <w:vAlign w:val="center"/>
          </w:tcPr>
          <w:p w14:paraId="5D8433C9"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Cs/>
                <w:color w:val="000000"/>
                <w:sz w:val="22"/>
                <w:szCs w:val="22"/>
              </w:rPr>
              <w:t>SEG emisiju un CO</w:t>
            </w:r>
            <w:r w:rsidRPr="004826D1">
              <w:rPr>
                <w:rFonts w:eastAsia="Calibri" w:cs="Times New Roman"/>
                <w:bCs/>
                <w:color w:val="000000"/>
                <w:sz w:val="22"/>
                <w:szCs w:val="22"/>
                <w:vertAlign w:val="subscript"/>
              </w:rPr>
              <w:t>2</w:t>
            </w:r>
            <w:r w:rsidRPr="004826D1">
              <w:rPr>
                <w:rFonts w:eastAsia="Calibri" w:cs="Times New Roman"/>
                <w:bCs/>
                <w:color w:val="000000"/>
                <w:sz w:val="22"/>
                <w:szCs w:val="22"/>
              </w:rPr>
              <w:t xml:space="preserve"> piesaistes bilance (kt CO</w:t>
            </w:r>
            <w:r w:rsidRPr="004826D1">
              <w:rPr>
                <w:rFonts w:eastAsia="Calibri" w:cs="Times New Roman"/>
                <w:b/>
                <w:bCs/>
                <w:color w:val="000000"/>
                <w:sz w:val="22"/>
                <w:szCs w:val="22"/>
                <w:vertAlign w:val="subscript"/>
              </w:rPr>
              <w:t>2</w:t>
            </w:r>
            <w:r w:rsidRPr="004826D1">
              <w:rPr>
                <w:rFonts w:eastAsia="Calibri" w:cs="Times New Roman"/>
                <w:bCs/>
                <w:color w:val="000000"/>
                <w:sz w:val="22"/>
                <w:szCs w:val="22"/>
              </w:rPr>
              <w:t xml:space="preserve"> ekv.)</w:t>
            </w:r>
          </w:p>
        </w:tc>
        <w:tc>
          <w:tcPr>
            <w:tcW w:w="1177" w:type="dxa"/>
            <w:tcBorders>
              <w:top w:val="single" w:sz="4" w:space="0" w:color="7F7F7F"/>
              <w:bottom w:val="single" w:sz="4" w:space="0" w:color="7F7F7F"/>
            </w:tcBorders>
            <w:shd w:val="clear" w:color="auto" w:fill="auto"/>
            <w:vAlign w:val="center"/>
          </w:tcPr>
          <w:p w14:paraId="33C3813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2201,7</w:t>
            </w:r>
          </w:p>
        </w:tc>
        <w:tc>
          <w:tcPr>
            <w:tcW w:w="1177" w:type="dxa"/>
            <w:tcBorders>
              <w:top w:val="single" w:sz="4" w:space="0" w:color="7F7F7F"/>
              <w:bottom w:val="single" w:sz="4" w:space="0" w:color="7F7F7F"/>
            </w:tcBorders>
            <w:shd w:val="clear" w:color="auto" w:fill="auto"/>
            <w:vAlign w:val="center"/>
          </w:tcPr>
          <w:p w14:paraId="6E40AA4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4944,2</w:t>
            </w:r>
          </w:p>
        </w:tc>
        <w:tc>
          <w:tcPr>
            <w:tcW w:w="1127" w:type="dxa"/>
            <w:tcBorders>
              <w:top w:val="single" w:sz="4" w:space="0" w:color="7F7F7F"/>
              <w:bottom w:val="single" w:sz="4" w:space="0" w:color="7F7F7F"/>
            </w:tcBorders>
            <w:shd w:val="clear" w:color="auto" w:fill="auto"/>
            <w:vAlign w:val="center"/>
          </w:tcPr>
          <w:p w14:paraId="41D0CEA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-644</w:t>
            </w:r>
          </w:p>
        </w:tc>
      </w:tr>
    </w:tbl>
    <w:p w14:paraId="0C3339D3" w14:textId="77777777" w:rsidR="009A5918" w:rsidRPr="004826D1" w:rsidRDefault="009A5918" w:rsidP="002E584B">
      <w:pPr>
        <w:jc w:val="both"/>
        <w:rPr>
          <w:rFonts w:cs="Times New Roman"/>
          <w:sz w:val="22"/>
          <w:szCs w:val="22"/>
        </w:rPr>
      </w:pPr>
    </w:p>
    <w:p w14:paraId="243E01E3" w14:textId="77777777" w:rsidR="008919C5" w:rsidRPr="004826D1" w:rsidRDefault="008919C5" w:rsidP="009A5918">
      <w:pPr>
        <w:pStyle w:val="Heading2"/>
        <w:rPr>
          <w:rFonts w:ascii="Times New Roman" w:hAnsi="Times New Roman"/>
          <w:i w:val="0"/>
          <w:sz w:val="22"/>
          <w:szCs w:val="22"/>
          <w:lang w:val="lv-LV"/>
        </w:rPr>
      </w:pPr>
      <w:bookmarkStart w:id="180" w:name="_Ref145085536"/>
      <w:bookmarkStart w:id="181" w:name="_Toc149905887"/>
      <w:bookmarkStart w:id="182" w:name="_Toc167949251"/>
      <w:bookmarkStart w:id="183" w:name="_Toc167949403"/>
    </w:p>
    <w:p w14:paraId="79DB2EB4" w14:textId="77777777" w:rsidR="002E584B" w:rsidRPr="007A6B93" w:rsidRDefault="002E584B" w:rsidP="009A5918">
      <w:pPr>
        <w:pStyle w:val="Heading2"/>
        <w:rPr>
          <w:rFonts w:ascii="Times New Roman" w:hAnsi="Times New Roman"/>
          <w:i w:val="0"/>
          <w:sz w:val="24"/>
          <w:szCs w:val="24"/>
          <w:lang w:val="lv-LV"/>
        </w:rPr>
      </w:pPr>
      <w:bookmarkStart w:id="184" w:name="_Toc169602259"/>
      <w:r w:rsidRPr="007A6B93">
        <w:rPr>
          <w:rFonts w:ascii="Times New Roman" w:hAnsi="Times New Roman"/>
          <w:i w:val="0"/>
          <w:sz w:val="24"/>
          <w:szCs w:val="24"/>
          <w:lang w:val="lv-LV"/>
        </w:rPr>
        <w:t>3.2</w:t>
      </w:r>
      <w:r w:rsidR="009A5918" w:rsidRPr="007A6B93">
        <w:rPr>
          <w:rFonts w:ascii="Times New Roman" w:hAnsi="Times New Roman"/>
          <w:i w:val="0"/>
          <w:sz w:val="24"/>
          <w:szCs w:val="24"/>
          <w:lang w:val="lv-LV"/>
        </w:rPr>
        <w:t>.2.7</w:t>
      </w:r>
      <w:r w:rsidRPr="007A6B93">
        <w:rPr>
          <w:rFonts w:ascii="Times New Roman" w:hAnsi="Times New Roman"/>
          <w:i w:val="0"/>
          <w:sz w:val="24"/>
          <w:szCs w:val="24"/>
          <w:lang w:val="lv-LV"/>
        </w:rPr>
        <w:t>. Energoefektivitāt</w:t>
      </w:r>
      <w:bookmarkEnd w:id="180"/>
      <w:bookmarkEnd w:id="181"/>
      <w:bookmarkEnd w:id="182"/>
      <w:bookmarkEnd w:id="183"/>
      <w:r w:rsidR="009A5918" w:rsidRPr="007A6B93">
        <w:rPr>
          <w:rFonts w:ascii="Times New Roman" w:hAnsi="Times New Roman"/>
          <w:i w:val="0"/>
          <w:sz w:val="24"/>
          <w:szCs w:val="24"/>
          <w:lang w:val="lv-LV"/>
        </w:rPr>
        <w:t>ē s</w:t>
      </w:r>
      <w:r w:rsidRPr="007A6B93">
        <w:rPr>
          <w:rFonts w:ascii="Times New Roman" w:hAnsi="Times New Roman"/>
          <w:i w:val="0"/>
          <w:sz w:val="24"/>
          <w:szCs w:val="24"/>
          <w:lang w:val="lv-LV"/>
        </w:rPr>
        <w:t>asniedzamie mērķi</w:t>
      </w:r>
      <w:bookmarkEnd w:id="184"/>
    </w:p>
    <w:tbl>
      <w:tblPr>
        <w:tblW w:w="9071" w:type="dxa"/>
        <w:jc w:val="center"/>
        <w:tblBorders>
          <w:top w:val="single" w:sz="4" w:space="0" w:color="7F7F7F"/>
          <w:bottom w:val="single" w:sz="4" w:space="0" w:color="7F7F7F"/>
        </w:tblBorders>
        <w:tblLook w:val="04A0" w:firstRow="1" w:lastRow="0" w:firstColumn="1" w:lastColumn="0" w:noHBand="0" w:noVBand="1"/>
      </w:tblPr>
      <w:tblGrid>
        <w:gridCol w:w="5646"/>
        <w:gridCol w:w="1135"/>
        <w:gridCol w:w="1135"/>
        <w:gridCol w:w="1155"/>
      </w:tblGrid>
      <w:tr w:rsidR="002E584B" w:rsidRPr="004826D1" w14:paraId="099E5F5A" w14:textId="77777777" w:rsidTr="00336DC4">
        <w:trPr>
          <w:trHeight w:val="397"/>
          <w:jc w:val="center"/>
        </w:trPr>
        <w:tc>
          <w:tcPr>
            <w:tcW w:w="5646" w:type="dxa"/>
            <w:tcBorders>
              <w:bottom w:val="single" w:sz="4" w:space="0" w:color="7F7F7F"/>
            </w:tcBorders>
            <w:shd w:val="clear" w:color="auto" w:fill="auto"/>
            <w:vAlign w:val="center"/>
          </w:tcPr>
          <w:p w14:paraId="689BAAC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36F2C45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A634514"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135" w:type="dxa"/>
            <w:tcBorders>
              <w:bottom w:val="single" w:sz="4" w:space="0" w:color="7F7F7F"/>
            </w:tcBorders>
            <w:shd w:val="clear" w:color="auto" w:fill="auto"/>
          </w:tcPr>
          <w:p w14:paraId="6D5DD3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38106C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55" w:type="dxa"/>
            <w:tcBorders>
              <w:bottom w:val="single" w:sz="4" w:space="0" w:color="7F7F7F"/>
            </w:tcBorders>
            <w:shd w:val="clear" w:color="auto" w:fill="auto"/>
            <w:vAlign w:val="center"/>
          </w:tcPr>
          <w:p w14:paraId="47EE8C7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258F683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F7F352D" w14:textId="77777777" w:rsidTr="00336DC4">
        <w:trPr>
          <w:trHeight w:val="397"/>
          <w:jc w:val="center"/>
        </w:trPr>
        <w:tc>
          <w:tcPr>
            <w:tcW w:w="5646" w:type="dxa"/>
            <w:tcBorders>
              <w:top w:val="single" w:sz="4" w:space="0" w:color="7F7F7F"/>
              <w:bottom w:val="single" w:sz="4" w:space="0" w:color="7F7F7F"/>
            </w:tcBorders>
            <w:shd w:val="clear" w:color="auto" w:fill="auto"/>
            <w:vAlign w:val="center"/>
          </w:tcPr>
          <w:p w14:paraId="1BBCB0DA"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Kopējais enerģijas patēriņš (GWh)</w:t>
            </w:r>
          </w:p>
        </w:tc>
        <w:tc>
          <w:tcPr>
            <w:tcW w:w="1135" w:type="dxa"/>
            <w:tcBorders>
              <w:top w:val="single" w:sz="4" w:space="0" w:color="7F7F7F"/>
              <w:bottom w:val="single" w:sz="4" w:space="0" w:color="7F7F7F"/>
            </w:tcBorders>
            <w:shd w:val="clear" w:color="auto" w:fill="auto"/>
            <w:vAlign w:val="center"/>
          </w:tcPr>
          <w:p w14:paraId="30D954A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51 948</w:t>
            </w:r>
          </w:p>
        </w:tc>
        <w:tc>
          <w:tcPr>
            <w:tcW w:w="1135" w:type="dxa"/>
            <w:tcBorders>
              <w:top w:val="single" w:sz="4" w:space="0" w:color="7F7F7F"/>
              <w:bottom w:val="single" w:sz="4" w:space="0" w:color="7F7F7F"/>
            </w:tcBorders>
            <w:shd w:val="clear" w:color="auto" w:fill="auto"/>
            <w:vAlign w:val="center"/>
          </w:tcPr>
          <w:p w14:paraId="1C91E3D0" w14:textId="77777777" w:rsidR="002E584B" w:rsidRPr="004826D1" w:rsidRDefault="002E584B" w:rsidP="00336DC4">
            <w:pPr>
              <w:jc w:val="center"/>
              <w:rPr>
                <w:rFonts w:eastAsia="Calibri" w:cs="Times New Roman"/>
                <w:sz w:val="22"/>
                <w:szCs w:val="22"/>
              </w:rPr>
            </w:pPr>
            <w:r w:rsidRPr="004826D1">
              <w:rPr>
                <w:rFonts w:eastAsia="Calibri" w:cs="Times New Roman"/>
                <w:sz w:val="22"/>
                <w:szCs w:val="22"/>
              </w:rPr>
              <w:t>50 088</w:t>
            </w:r>
          </w:p>
        </w:tc>
        <w:tc>
          <w:tcPr>
            <w:tcW w:w="1155" w:type="dxa"/>
            <w:tcBorders>
              <w:top w:val="single" w:sz="4" w:space="0" w:color="7F7F7F"/>
              <w:bottom w:val="single" w:sz="4" w:space="0" w:color="7F7F7F"/>
            </w:tcBorders>
            <w:shd w:val="clear" w:color="auto" w:fill="auto"/>
            <w:vAlign w:val="center"/>
          </w:tcPr>
          <w:p w14:paraId="23DD652D" w14:textId="77777777" w:rsidR="002E584B" w:rsidRPr="004826D1" w:rsidRDefault="002E584B" w:rsidP="00336DC4">
            <w:pPr>
              <w:jc w:val="center"/>
              <w:rPr>
                <w:rFonts w:cs="Times New Roman"/>
                <w:color w:val="000000"/>
                <w:sz w:val="22"/>
                <w:szCs w:val="22"/>
                <w:lang w:eastAsia="lv-LV"/>
              </w:rPr>
            </w:pPr>
            <w:r w:rsidRPr="004826D1">
              <w:rPr>
                <w:rFonts w:eastAsia="Calibri" w:cs="Times New Roman"/>
                <w:sz w:val="22"/>
                <w:szCs w:val="22"/>
              </w:rPr>
              <w:t xml:space="preserve">44 717 </w:t>
            </w:r>
          </w:p>
        </w:tc>
      </w:tr>
      <w:tr w:rsidR="002E584B" w:rsidRPr="004826D1" w14:paraId="4F3C3E5E" w14:textId="77777777" w:rsidTr="00336DC4">
        <w:trPr>
          <w:trHeight w:val="397"/>
          <w:jc w:val="center"/>
        </w:trPr>
        <w:tc>
          <w:tcPr>
            <w:tcW w:w="5646" w:type="dxa"/>
            <w:shd w:val="clear" w:color="auto" w:fill="auto"/>
            <w:vAlign w:val="center"/>
          </w:tcPr>
          <w:p w14:paraId="4E280AA4"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Enerģijas galapatēriņš (GWh)</w:t>
            </w:r>
          </w:p>
        </w:tc>
        <w:tc>
          <w:tcPr>
            <w:tcW w:w="1135" w:type="dxa"/>
            <w:shd w:val="clear" w:color="auto" w:fill="auto"/>
            <w:vAlign w:val="center"/>
          </w:tcPr>
          <w:p w14:paraId="712D02D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47 188</w:t>
            </w:r>
          </w:p>
        </w:tc>
        <w:tc>
          <w:tcPr>
            <w:tcW w:w="1135" w:type="dxa"/>
            <w:shd w:val="clear" w:color="auto" w:fill="auto"/>
            <w:vAlign w:val="center"/>
          </w:tcPr>
          <w:p w14:paraId="66D26345" w14:textId="77777777" w:rsidR="002E584B" w:rsidRPr="004826D1" w:rsidRDefault="002E584B" w:rsidP="00336DC4">
            <w:pPr>
              <w:jc w:val="center"/>
              <w:rPr>
                <w:rFonts w:eastAsia="Calibri" w:cs="Times New Roman"/>
                <w:sz w:val="22"/>
                <w:szCs w:val="22"/>
              </w:rPr>
            </w:pPr>
            <w:r w:rsidRPr="004826D1">
              <w:rPr>
                <w:rFonts w:eastAsia="Calibri" w:cs="Times New Roman"/>
                <w:sz w:val="22"/>
                <w:szCs w:val="22"/>
              </w:rPr>
              <w:t>46 081</w:t>
            </w:r>
          </w:p>
        </w:tc>
        <w:tc>
          <w:tcPr>
            <w:tcW w:w="1155" w:type="dxa"/>
            <w:shd w:val="clear" w:color="auto" w:fill="auto"/>
            <w:vAlign w:val="center"/>
          </w:tcPr>
          <w:p w14:paraId="30372968" w14:textId="77777777" w:rsidR="002E584B" w:rsidRPr="004826D1" w:rsidRDefault="002E584B" w:rsidP="00336DC4">
            <w:pPr>
              <w:jc w:val="center"/>
              <w:rPr>
                <w:rFonts w:cs="Times New Roman"/>
                <w:color w:val="000000"/>
                <w:sz w:val="22"/>
                <w:szCs w:val="22"/>
                <w:lang w:eastAsia="lv-LV"/>
              </w:rPr>
            </w:pPr>
            <w:r w:rsidRPr="004826D1">
              <w:rPr>
                <w:rFonts w:eastAsia="Calibri" w:cs="Times New Roman"/>
                <w:sz w:val="22"/>
                <w:szCs w:val="22"/>
              </w:rPr>
              <w:t>40 240</w:t>
            </w:r>
          </w:p>
        </w:tc>
      </w:tr>
    </w:tbl>
    <w:p w14:paraId="55316FD8" w14:textId="77777777" w:rsidR="008919C5" w:rsidRDefault="008919C5" w:rsidP="009A5918">
      <w:pPr>
        <w:pStyle w:val="Heading31"/>
        <w:rPr>
          <w:rFonts w:ascii="Times New Roman" w:hAnsi="Times New Roman"/>
          <w:sz w:val="22"/>
          <w:szCs w:val="22"/>
          <w:lang w:val="lv-LV"/>
        </w:rPr>
      </w:pPr>
    </w:p>
    <w:p w14:paraId="649C872F" w14:textId="77777777" w:rsidR="007A6B93" w:rsidRPr="007A6B93" w:rsidRDefault="007A6B93" w:rsidP="007A6B93">
      <w:pPr>
        <w:rPr>
          <w:lang w:eastAsia="en-GB"/>
        </w:rPr>
      </w:pPr>
    </w:p>
    <w:p w14:paraId="63FB0E7B" w14:textId="77777777" w:rsidR="002E584B" w:rsidRPr="007A6B93" w:rsidRDefault="002E584B" w:rsidP="009A5918">
      <w:pPr>
        <w:pStyle w:val="Heading31"/>
        <w:rPr>
          <w:rFonts w:ascii="Times New Roman" w:hAnsi="Times New Roman"/>
          <w:sz w:val="24"/>
          <w:szCs w:val="24"/>
          <w:lang w:val="lv-LV"/>
        </w:rPr>
      </w:pPr>
      <w:bookmarkStart w:id="185" w:name="_Toc169602260"/>
      <w:r w:rsidRPr="007A6B93">
        <w:rPr>
          <w:rFonts w:ascii="Times New Roman" w:hAnsi="Times New Roman"/>
          <w:sz w:val="24"/>
          <w:szCs w:val="24"/>
          <w:lang w:val="lv-LV"/>
        </w:rPr>
        <w:t>3.2.2.</w:t>
      </w:r>
      <w:r w:rsidR="009A5918" w:rsidRPr="007A6B93">
        <w:rPr>
          <w:rFonts w:ascii="Times New Roman" w:hAnsi="Times New Roman"/>
          <w:sz w:val="24"/>
          <w:szCs w:val="24"/>
          <w:lang w:val="lv-LV"/>
        </w:rPr>
        <w:t>8.</w:t>
      </w:r>
      <w:r w:rsidRPr="007A6B93">
        <w:rPr>
          <w:rFonts w:ascii="Times New Roman" w:hAnsi="Times New Roman"/>
          <w:sz w:val="24"/>
          <w:szCs w:val="24"/>
          <w:lang w:val="lv-LV"/>
        </w:rPr>
        <w:t xml:space="preserve"> Publiska</w:t>
      </w:r>
      <w:r w:rsidR="009A5918" w:rsidRPr="007A6B93">
        <w:rPr>
          <w:rFonts w:ascii="Times New Roman" w:hAnsi="Times New Roman"/>
          <w:sz w:val="24"/>
          <w:szCs w:val="24"/>
          <w:lang w:val="lv-LV"/>
        </w:rPr>
        <w:t>jā</w:t>
      </w:r>
      <w:r w:rsidRPr="007A6B93">
        <w:rPr>
          <w:rFonts w:ascii="Times New Roman" w:hAnsi="Times New Roman"/>
          <w:sz w:val="24"/>
          <w:szCs w:val="24"/>
          <w:lang w:val="lv-LV"/>
        </w:rPr>
        <w:t xml:space="preserve">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85"/>
    </w:p>
    <w:tbl>
      <w:tblPr>
        <w:tblW w:w="9071" w:type="dxa"/>
        <w:jc w:val="center"/>
        <w:tblBorders>
          <w:top w:val="single" w:sz="4" w:space="0" w:color="7F7F7F"/>
          <w:bottom w:val="single" w:sz="4" w:space="0" w:color="7F7F7F"/>
        </w:tblBorders>
        <w:tblLook w:val="04A0" w:firstRow="1" w:lastRow="0" w:firstColumn="1" w:lastColumn="0" w:noHBand="0" w:noVBand="1"/>
      </w:tblPr>
      <w:tblGrid>
        <w:gridCol w:w="4962"/>
        <w:gridCol w:w="1417"/>
        <w:gridCol w:w="1276"/>
        <w:gridCol w:w="1416"/>
      </w:tblGrid>
      <w:tr w:rsidR="002E584B" w:rsidRPr="004826D1" w14:paraId="1BB1541B" w14:textId="77777777" w:rsidTr="00336DC4">
        <w:trPr>
          <w:trHeight w:val="56"/>
          <w:jc w:val="center"/>
        </w:trPr>
        <w:tc>
          <w:tcPr>
            <w:tcW w:w="4962" w:type="dxa"/>
            <w:tcBorders>
              <w:bottom w:val="single" w:sz="4" w:space="0" w:color="7F7F7F"/>
            </w:tcBorders>
            <w:shd w:val="clear" w:color="auto" w:fill="auto"/>
            <w:vAlign w:val="center"/>
          </w:tcPr>
          <w:p w14:paraId="316780E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417" w:type="dxa"/>
            <w:tcBorders>
              <w:bottom w:val="single" w:sz="4" w:space="0" w:color="7F7F7F"/>
            </w:tcBorders>
            <w:shd w:val="clear" w:color="auto" w:fill="auto"/>
          </w:tcPr>
          <w:p w14:paraId="6AC970FD"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4D008DE6"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6" w:type="dxa"/>
            <w:tcBorders>
              <w:bottom w:val="single" w:sz="4" w:space="0" w:color="7F7F7F"/>
            </w:tcBorders>
            <w:shd w:val="clear" w:color="auto" w:fill="auto"/>
          </w:tcPr>
          <w:p w14:paraId="2950914A"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12E28A7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416" w:type="dxa"/>
            <w:tcBorders>
              <w:bottom w:val="single" w:sz="4" w:space="0" w:color="7F7F7F"/>
            </w:tcBorders>
            <w:shd w:val="clear" w:color="auto" w:fill="auto"/>
            <w:vAlign w:val="center"/>
          </w:tcPr>
          <w:p w14:paraId="17E6D51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0D8AAA3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38F8C59F" w14:textId="77777777" w:rsidTr="00336DC4">
        <w:trPr>
          <w:trHeight w:val="397"/>
          <w:jc w:val="center"/>
        </w:trPr>
        <w:tc>
          <w:tcPr>
            <w:tcW w:w="4962" w:type="dxa"/>
            <w:tcBorders>
              <w:top w:val="single" w:sz="4" w:space="0" w:color="7F7F7F"/>
              <w:bottom w:val="single" w:sz="4" w:space="0" w:color="7F7F7F"/>
            </w:tcBorders>
            <w:shd w:val="clear" w:color="auto" w:fill="auto"/>
            <w:vAlign w:val="center"/>
          </w:tcPr>
          <w:p w14:paraId="7CF44BE6" w14:textId="77777777" w:rsidR="002E584B" w:rsidRPr="004826D1" w:rsidRDefault="002E584B" w:rsidP="00336DC4">
            <w:pPr>
              <w:ind w:right="284"/>
              <w:rPr>
                <w:rFonts w:eastAsia="Calibri" w:cs="Times New Roman"/>
                <w:bCs/>
                <w:color w:val="000000"/>
                <w:sz w:val="22"/>
                <w:szCs w:val="22"/>
              </w:rPr>
            </w:pPr>
            <w:r w:rsidRPr="004826D1">
              <w:rPr>
                <w:rFonts w:cs="Times New Roman"/>
                <w:bCs/>
                <w:color w:val="000000"/>
                <w:sz w:val="22"/>
                <w:szCs w:val="22"/>
                <w:lang w:eastAsia="lv-LV"/>
              </w:rPr>
              <w:t>publisko ēku renovētā ēku platība (kopā renovēti, m</w:t>
            </w:r>
            <w:r w:rsidRPr="004826D1">
              <w:rPr>
                <w:rFonts w:cs="Times New Roman"/>
                <w:bCs/>
                <w:color w:val="000000"/>
                <w:sz w:val="22"/>
                <w:szCs w:val="22"/>
                <w:vertAlign w:val="superscript"/>
                <w:lang w:eastAsia="lv-LV"/>
              </w:rPr>
              <w:t>2</w:t>
            </w:r>
            <w:r w:rsidRPr="004826D1">
              <w:rPr>
                <w:rFonts w:cs="Times New Roman"/>
                <w:bCs/>
                <w:color w:val="000000"/>
                <w:sz w:val="22"/>
                <w:szCs w:val="22"/>
                <w:lang w:eastAsia="lv-LV"/>
              </w:rPr>
              <w:t>)</w:t>
            </w:r>
          </w:p>
        </w:tc>
        <w:tc>
          <w:tcPr>
            <w:tcW w:w="1417" w:type="dxa"/>
            <w:tcBorders>
              <w:top w:val="single" w:sz="4" w:space="0" w:color="7F7F7F"/>
              <w:bottom w:val="single" w:sz="4" w:space="0" w:color="7F7F7F"/>
            </w:tcBorders>
            <w:shd w:val="clear" w:color="auto" w:fill="auto"/>
            <w:vAlign w:val="center"/>
          </w:tcPr>
          <w:p w14:paraId="4310AA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63 769</w:t>
            </w:r>
          </w:p>
        </w:tc>
        <w:tc>
          <w:tcPr>
            <w:tcW w:w="1276" w:type="dxa"/>
            <w:tcBorders>
              <w:top w:val="single" w:sz="4" w:space="0" w:color="7F7F7F"/>
              <w:bottom w:val="single" w:sz="4" w:space="0" w:color="7F7F7F"/>
            </w:tcBorders>
            <w:shd w:val="clear" w:color="auto" w:fill="auto"/>
            <w:vAlign w:val="center"/>
          </w:tcPr>
          <w:p w14:paraId="7162D7B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23 177</w:t>
            </w:r>
          </w:p>
        </w:tc>
        <w:tc>
          <w:tcPr>
            <w:tcW w:w="1416" w:type="dxa"/>
            <w:tcBorders>
              <w:top w:val="single" w:sz="4" w:space="0" w:color="7F7F7F"/>
              <w:bottom w:val="single" w:sz="4" w:space="0" w:color="7F7F7F"/>
            </w:tcBorders>
            <w:shd w:val="clear" w:color="auto" w:fill="auto"/>
            <w:vAlign w:val="center"/>
          </w:tcPr>
          <w:p w14:paraId="77F97B3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2 500 000</w:t>
            </w:r>
          </w:p>
        </w:tc>
      </w:tr>
      <w:tr w:rsidR="002E584B" w:rsidRPr="004826D1" w14:paraId="42A6E649" w14:textId="77777777" w:rsidTr="00336DC4">
        <w:trPr>
          <w:trHeight w:val="397"/>
          <w:jc w:val="center"/>
        </w:trPr>
        <w:tc>
          <w:tcPr>
            <w:tcW w:w="4962" w:type="dxa"/>
            <w:shd w:val="clear" w:color="auto" w:fill="auto"/>
            <w:vAlign w:val="center"/>
          </w:tcPr>
          <w:p w14:paraId="3AC23A1B" w14:textId="77777777" w:rsidR="002E584B" w:rsidRPr="004826D1" w:rsidRDefault="002E584B" w:rsidP="00336DC4">
            <w:pPr>
              <w:ind w:right="284"/>
              <w:rPr>
                <w:rFonts w:eastAsia="Calibri" w:cs="Times New Roman"/>
                <w:color w:val="000000"/>
                <w:sz w:val="22"/>
                <w:szCs w:val="22"/>
              </w:rPr>
            </w:pPr>
            <w:r w:rsidRPr="004826D1">
              <w:rPr>
                <w:rFonts w:cs="Times New Roman"/>
                <w:color w:val="000000"/>
                <w:sz w:val="22"/>
                <w:szCs w:val="22"/>
                <w:lang w:eastAsia="lv-LV"/>
              </w:rPr>
              <w:t>publisko iestāžu enerģijas patēriņa samazinājums (% pret 2021. g.)</w:t>
            </w:r>
          </w:p>
        </w:tc>
        <w:tc>
          <w:tcPr>
            <w:tcW w:w="1417" w:type="dxa"/>
            <w:shd w:val="clear" w:color="auto" w:fill="auto"/>
            <w:vAlign w:val="center"/>
          </w:tcPr>
          <w:p w14:paraId="483BF360" w14:textId="77777777" w:rsidR="002E584B" w:rsidRPr="004826D1" w:rsidRDefault="002E584B" w:rsidP="00336DC4">
            <w:pPr>
              <w:jc w:val="center"/>
              <w:rPr>
                <w:rFonts w:cs="Times New Roman"/>
                <w:color w:val="000000"/>
                <w:sz w:val="22"/>
                <w:szCs w:val="22"/>
                <w:lang w:eastAsia="lv-LV"/>
              </w:rPr>
            </w:pPr>
          </w:p>
        </w:tc>
        <w:tc>
          <w:tcPr>
            <w:tcW w:w="1276" w:type="dxa"/>
            <w:shd w:val="clear" w:color="auto" w:fill="auto"/>
            <w:vAlign w:val="center"/>
          </w:tcPr>
          <w:p w14:paraId="3EF49459" w14:textId="77777777" w:rsidR="002E584B" w:rsidRPr="004826D1" w:rsidRDefault="002E584B" w:rsidP="00336DC4">
            <w:pPr>
              <w:jc w:val="center"/>
              <w:rPr>
                <w:rFonts w:cs="Times New Roman"/>
                <w:color w:val="000000"/>
                <w:sz w:val="22"/>
                <w:szCs w:val="22"/>
                <w:lang w:eastAsia="lv-LV"/>
              </w:rPr>
            </w:pPr>
          </w:p>
        </w:tc>
        <w:tc>
          <w:tcPr>
            <w:tcW w:w="1416" w:type="dxa"/>
            <w:shd w:val="clear" w:color="auto" w:fill="auto"/>
            <w:vAlign w:val="center"/>
          </w:tcPr>
          <w:p w14:paraId="47EBF8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-11,4</w:t>
            </w:r>
          </w:p>
        </w:tc>
      </w:tr>
    </w:tbl>
    <w:p w14:paraId="17DD5331" w14:textId="77777777" w:rsidR="009A5918" w:rsidRPr="004826D1" w:rsidRDefault="009A5918" w:rsidP="002E584B">
      <w:pPr>
        <w:pStyle w:val="Heading31"/>
        <w:rPr>
          <w:rFonts w:ascii="Times New Roman" w:hAnsi="Times New Roman"/>
          <w:sz w:val="22"/>
          <w:szCs w:val="22"/>
          <w:lang w:val="lv-LV"/>
        </w:rPr>
      </w:pPr>
    </w:p>
    <w:p w14:paraId="20CD3C05" w14:textId="77777777" w:rsidR="008919C5" w:rsidRPr="004826D1" w:rsidRDefault="008919C5" w:rsidP="009A5918">
      <w:pPr>
        <w:pStyle w:val="Heading31"/>
        <w:rPr>
          <w:rFonts w:ascii="Times New Roman" w:hAnsi="Times New Roman"/>
          <w:sz w:val="22"/>
          <w:szCs w:val="22"/>
          <w:lang w:val="lv-LV"/>
        </w:rPr>
      </w:pPr>
    </w:p>
    <w:p w14:paraId="7C844EA6" w14:textId="77777777" w:rsidR="002E584B" w:rsidRPr="007A6B93" w:rsidRDefault="002E584B" w:rsidP="009A5918">
      <w:pPr>
        <w:pStyle w:val="Heading31"/>
        <w:rPr>
          <w:rFonts w:ascii="Times New Roman" w:hAnsi="Times New Roman"/>
          <w:sz w:val="24"/>
          <w:szCs w:val="24"/>
          <w:lang w:val="lv-LV"/>
        </w:rPr>
      </w:pPr>
      <w:bookmarkStart w:id="186" w:name="_Toc169602261"/>
      <w:r w:rsidRPr="007A6B93">
        <w:rPr>
          <w:rFonts w:ascii="Times New Roman" w:hAnsi="Times New Roman"/>
          <w:sz w:val="24"/>
          <w:szCs w:val="24"/>
          <w:lang w:val="lv-LV"/>
        </w:rPr>
        <w:t>3.2.</w:t>
      </w:r>
      <w:r w:rsidR="009A5918" w:rsidRPr="007A6B93">
        <w:rPr>
          <w:rFonts w:ascii="Times New Roman" w:hAnsi="Times New Roman"/>
          <w:sz w:val="24"/>
          <w:szCs w:val="24"/>
          <w:lang w:val="lv-LV"/>
        </w:rPr>
        <w:t>2.</w:t>
      </w:r>
      <w:r w:rsidR="008919C5" w:rsidRPr="007A6B93">
        <w:rPr>
          <w:rFonts w:ascii="Times New Roman" w:hAnsi="Times New Roman"/>
          <w:sz w:val="24"/>
          <w:szCs w:val="24"/>
          <w:lang w:val="lv-LV"/>
        </w:rPr>
        <w:t>9</w:t>
      </w:r>
      <w:r w:rsidRPr="007A6B93">
        <w:rPr>
          <w:rFonts w:ascii="Times New Roman" w:hAnsi="Times New Roman"/>
          <w:sz w:val="24"/>
          <w:szCs w:val="24"/>
          <w:lang w:val="lv-LV"/>
        </w:rPr>
        <w:t>. Ēku energoefektivitāt</w:t>
      </w:r>
      <w:r w:rsidR="009A5918" w:rsidRPr="007A6B93">
        <w:rPr>
          <w:rFonts w:ascii="Times New Roman" w:hAnsi="Times New Roman"/>
          <w:sz w:val="24"/>
          <w:szCs w:val="24"/>
          <w:lang w:val="lv-LV"/>
        </w:rPr>
        <w:t>ē s</w:t>
      </w:r>
      <w:r w:rsidRPr="007A6B93">
        <w:rPr>
          <w:rFonts w:ascii="Times New Roman" w:hAnsi="Times New Roman"/>
          <w:sz w:val="24"/>
          <w:szCs w:val="24"/>
          <w:lang w:val="lv-LV"/>
        </w:rPr>
        <w:t>asniedzamie mērķi</w:t>
      </w:r>
      <w:bookmarkEnd w:id="186"/>
    </w:p>
    <w:tbl>
      <w:tblPr>
        <w:tblW w:w="9639" w:type="dxa"/>
        <w:jc w:val="center"/>
        <w:tblBorders>
          <w:top w:val="single" w:sz="4" w:space="0" w:color="7F7F7F"/>
          <w:bottom w:val="single" w:sz="4" w:space="0" w:color="7F7F7F"/>
        </w:tblBorders>
        <w:tblLook w:val="04A0" w:firstRow="1" w:lastRow="0" w:firstColumn="1" w:lastColumn="0" w:noHBand="0" w:noVBand="1"/>
      </w:tblPr>
      <w:tblGrid>
        <w:gridCol w:w="3402"/>
        <w:gridCol w:w="3504"/>
        <w:gridCol w:w="2733"/>
      </w:tblGrid>
      <w:tr w:rsidR="002E584B" w:rsidRPr="004826D1" w14:paraId="07AC2DCF" w14:textId="77777777" w:rsidTr="00336DC4">
        <w:trPr>
          <w:trHeight w:val="937"/>
          <w:jc w:val="center"/>
        </w:trPr>
        <w:tc>
          <w:tcPr>
            <w:tcW w:w="3402" w:type="dxa"/>
            <w:tcBorders>
              <w:bottom w:val="single" w:sz="4" w:space="0" w:color="7F7F7F"/>
            </w:tcBorders>
            <w:shd w:val="clear" w:color="auto" w:fill="auto"/>
            <w:vAlign w:val="center"/>
          </w:tcPr>
          <w:p w14:paraId="7ACA3767"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w:t>
            </w:r>
          </w:p>
        </w:tc>
        <w:tc>
          <w:tcPr>
            <w:tcW w:w="3504" w:type="dxa"/>
            <w:tcBorders>
              <w:bottom w:val="single" w:sz="4" w:space="0" w:color="7F7F7F"/>
            </w:tcBorders>
            <w:shd w:val="clear" w:color="auto" w:fill="auto"/>
            <w:vAlign w:val="center"/>
          </w:tcPr>
          <w:p w14:paraId="3ABC696C"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6925299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2733" w:type="dxa"/>
            <w:tcBorders>
              <w:bottom w:val="single" w:sz="4" w:space="0" w:color="7F7F7F"/>
            </w:tcBorders>
            <w:shd w:val="clear" w:color="auto" w:fill="auto"/>
            <w:vAlign w:val="center"/>
          </w:tcPr>
          <w:p w14:paraId="51B8E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3DB5EF5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00E0A51" w14:textId="77777777" w:rsidTr="00336DC4">
        <w:trPr>
          <w:trHeight w:val="284"/>
          <w:jc w:val="center"/>
        </w:trPr>
        <w:tc>
          <w:tcPr>
            <w:tcW w:w="3402" w:type="dxa"/>
            <w:tcBorders>
              <w:top w:val="single" w:sz="4" w:space="0" w:color="7F7F7F"/>
              <w:bottom w:val="single" w:sz="4" w:space="0" w:color="7F7F7F"/>
            </w:tcBorders>
            <w:shd w:val="clear" w:color="auto" w:fill="auto"/>
            <w:vAlign w:val="center"/>
          </w:tcPr>
          <w:p w14:paraId="73661711" w14:textId="77777777" w:rsidR="002E584B" w:rsidRPr="004826D1" w:rsidRDefault="002E584B" w:rsidP="00336DC4">
            <w:pPr>
              <w:ind w:right="284"/>
              <w:rPr>
                <w:rFonts w:eastAsia="Calibri" w:cs="Times New Roman"/>
                <w:bCs/>
                <w:color w:val="000000"/>
                <w:sz w:val="22"/>
                <w:szCs w:val="22"/>
              </w:rPr>
            </w:pPr>
            <w:r w:rsidRPr="004826D1">
              <w:rPr>
                <w:rFonts w:eastAsia="Cambria" w:cs="Times New Roman"/>
                <w:b/>
                <w:bCs/>
                <w:color w:val="000000"/>
                <w:sz w:val="22"/>
                <w:szCs w:val="22"/>
              </w:rPr>
              <w:t xml:space="preserve">Jaunbūves dzīvojamo un nedzīvojamo ēku sektorā </w:t>
            </w:r>
            <w:r w:rsidRPr="004826D1">
              <w:rPr>
                <w:rFonts w:eastAsia="Cambria" w:cs="Times New Roman"/>
                <w:color w:val="000000"/>
                <w:sz w:val="22"/>
                <w:szCs w:val="22"/>
              </w:rPr>
              <w:t>nerada emisijas</w:t>
            </w:r>
          </w:p>
        </w:tc>
        <w:tc>
          <w:tcPr>
            <w:tcW w:w="3504" w:type="dxa"/>
            <w:tcBorders>
              <w:top w:val="single" w:sz="4" w:space="0" w:color="7F7F7F"/>
              <w:bottom w:val="single" w:sz="4" w:space="0" w:color="7F7F7F"/>
            </w:tcBorders>
            <w:shd w:val="clear" w:color="auto" w:fill="auto"/>
          </w:tcPr>
          <w:p w14:paraId="2E8FE236" w14:textId="77777777" w:rsidR="002E584B" w:rsidRPr="004826D1" w:rsidRDefault="002E584B" w:rsidP="00336DC4">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A ēku energoefektivitātes klasei (gandrīz nulles enerģijas ēka)</w:t>
            </w:r>
          </w:p>
        </w:tc>
        <w:tc>
          <w:tcPr>
            <w:tcW w:w="2733" w:type="dxa"/>
            <w:tcBorders>
              <w:top w:val="single" w:sz="4" w:space="0" w:color="7F7F7F"/>
              <w:bottom w:val="single" w:sz="4" w:space="0" w:color="7F7F7F"/>
            </w:tcBorders>
            <w:shd w:val="clear" w:color="auto" w:fill="auto"/>
            <w:vAlign w:val="center"/>
          </w:tcPr>
          <w:p w14:paraId="60E5EEFB" w14:textId="77777777" w:rsidR="002E584B" w:rsidRPr="004826D1" w:rsidRDefault="002E584B" w:rsidP="00336DC4">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nulles emisiju ēkai</w:t>
            </w:r>
          </w:p>
        </w:tc>
      </w:tr>
    </w:tbl>
    <w:p w14:paraId="65AEBE48" w14:textId="77777777" w:rsidR="009A5918" w:rsidRPr="004826D1" w:rsidRDefault="009A5918" w:rsidP="002E584B">
      <w:pPr>
        <w:pStyle w:val="Heading31"/>
        <w:rPr>
          <w:rFonts w:ascii="Times New Roman" w:hAnsi="Times New Roman"/>
          <w:sz w:val="22"/>
          <w:szCs w:val="22"/>
          <w:lang w:val="lv-LV"/>
        </w:rPr>
      </w:pPr>
    </w:p>
    <w:p w14:paraId="7BC6CFE8" w14:textId="77777777" w:rsidR="002E584B" w:rsidRPr="007A6B93" w:rsidRDefault="002E584B" w:rsidP="009A5918">
      <w:pPr>
        <w:pStyle w:val="Heading31"/>
        <w:rPr>
          <w:rFonts w:ascii="Times New Roman" w:hAnsi="Times New Roman"/>
          <w:sz w:val="24"/>
          <w:szCs w:val="24"/>
          <w:lang w:val="lv-LV"/>
        </w:rPr>
      </w:pPr>
      <w:bookmarkStart w:id="187" w:name="_Toc169602262"/>
      <w:r w:rsidRPr="007A6B93">
        <w:rPr>
          <w:rFonts w:ascii="Times New Roman" w:hAnsi="Times New Roman"/>
          <w:sz w:val="24"/>
          <w:szCs w:val="24"/>
          <w:lang w:val="lv-LV"/>
        </w:rPr>
        <w:t>3.2.</w:t>
      </w:r>
      <w:r w:rsidR="008919C5" w:rsidRPr="007A6B93">
        <w:rPr>
          <w:rFonts w:ascii="Times New Roman" w:hAnsi="Times New Roman"/>
          <w:sz w:val="24"/>
          <w:szCs w:val="24"/>
          <w:lang w:val="lv-LV"/>
        </w:rPr>
        <w:t>2.10</w:t>
      </w:r>
      <w:r w:rsidRPr="007A6B93">
        <w:rPr>
          <w:rFonts w:ascii="Times New Roman" w:hAnsi="Times New Roman"/>
          <w:sz w:val="24"/>
          <w:szCs w:val="24"/>
          <w:lang w:val="lv-LV"/>
        </w:rPr>
        <w:t>. Energoietaupījum</w:t>
      </w:r>
      <w:r w:rsidR="009A5918" w:rsidRPr="007A6B93">
        <w:rPr>
          <w:rFonts w:ascii="Times New Roman" w:hAnsi="Times New Roman"/>
          <w:sz w:val="24"/>
          <w:szCs w:val="24"/>
          <w:lang w:val="lv-LV"/>
        </w:rPr>
        <w:t>os</w:t>
      </w:r>
      <w:r w:rsidRPr="007A6B93">
        <w:rPr>
          <w:rFonts w:ascii="Times New Roman" w:hAnsi="Times New Roman"/>
          <w:sz w:val="24"/>
          <w:szCs w:val="24"/>
          <w:lang w:val="lv-LV"/>
        </w:rPr>
        <w:t xml:space="preserve"> enerģijas galapatēriņā</w:t>
      </w:r>
      <w:r w:rsidR="009A5918" w:rsidRPr="007A6B93">
        <w:rPr>
          <w:rFonts w:ascii="Times New Roman" w:hAnsi="Times New Roman"/>
          <w:sz w:val="24"/>
          <w:szCs w:val="24"/>
          <w:lang w:val="lv-LV"/>
        </w:rPr>
        <w:t xml:space="preserve"> s</w:t>
      </w:r>
      <w:r w:rsidRPr="007A6B93">
        <w:rPr>
          <w:rFonts w:ascii="Times New Roman" w:hAnsi="Times New Roman"/>
          <w:sz w:val="24"/>
          <w:szCs w:val="24"/>
          <w:lang w:val="lv-LV"/>
        </w:rPr>
        <w:t>asniedzamie mērķi</w:t>
      </w:r>
      <w:bookmarkEnd w:id="187"/>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135"/>
        <w:gridCol w:w="1278"/>
        <w:gridCol w:w="1134"/>
      </w:tblGrid>
      <w:tr w:rsidR="002E584B" w:rsidRPr="004826D1" w14:paraId="14F1BA3D" w14:textId="77777777" w:rsidTr="00336DC4">
        <w:trPr>
          <w:trHeight w:val="397"/>
          <w:jc w:val="center"/>
        </w:trPr>
        <w:tc>
          <w:tcPr>
            <w:tcW w:w="5524" w:type="dxa"/>
            <w:tcBorders>
              <w:bottom w:val="single" w:sz="4" w:space="0" w:color="7F7F7F"/>
            </w:tcBorders>
            <w:shd w:val="clear" w:color="auto" w:fill="auto"/>
            <w:vAlign w:val="center"/>
          </w:tcPr>
          <w:p w14:paraId="1522EBD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77BF95C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0BE14C2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8" w:type="dxa"/>
            <w:tcBorders>
              <w:bottom w:val="single" w:sz="4" w:space="0" w:color="7F7F7F"/>
            </w:tcBorders>
            <w:shd w:val="clear" w:color="auto" w:fill="auto"/>
          </w:tcPr>
          <w:p w14:paraId="5D3461B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D96987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34" w:type="dxa"/>
            <w:tcBorders>
              <w:bottom w:val="single" w:sz="4" w:space="0" w:color="7F7F7F"/>
            </w:tcBorders>
            <w:shd w:val="clear" w:color="auto" w:fill="auto"/>
            <w:vAlign w:val="center"/>
          </w:tcPr>
          <w:p w14:paraId="5564741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MĒŖKIS</w:t>
            </w:r>
          </w:p>
          <w:p w14:paraId="09C63B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6BADF129" w14:textId="77777777" w:rsidTr="00336DC4">
        <w:trPr>
          <w:trHeight w:val="397"/>
          <w:jc w:val="center"/>
        </w:trPr>
        <w:tc>
          <w:tcPr>
            <w:tcW w:w="5524" w:type="dxa"/>
            <w:tcBorders>
              <w:top w:val="single" w:sz="4" w:space="0" w:color="7F7F7F"/>
              <w:bottom w:val="single" w:sz="4" w:space="0" w:color="7F7F7F"/>
            </w:tcBorders>
            <w:shd w:val="clear" w:color="auto" w:fill="auto"/>
            <w:vAlign w:val="center"/>
          </w:tcPr>
          <w:p w14:paraId="18826C90"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Kumulatīvais enerģijas galapatēriņa ietaupījums</w:t>
            </w:r>
          </w:p>
        </w:tc>
        <w:tc>
          <w:tcPr>
            <w:tcW w:w="1135" w:type="dxa"/>
            <w:tcBorders>
              <w:top w:val="single" w:sz="4" w:space="0" w:color="7F7F7F"/>
              <w:bottom w:val="single" w:sz="4" w:space="0" w:color="7F7F7F"/>
            </w:tcBorders>
            <w:shd w:val="clear" w:color="auto" w:fill="auto"/>
            <w:vAlign w:val="center"/>
          </w:tcPr>
          <w:p w14:paraId="5E8B7ED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542,076</w:t>
            </w:r>
          </w:p>
        </w:tc>
        <w:tc>
          <w:tcPr>
            <w:tcW w:w="1278" w:type="dxa"/>
            <w:tcBorders>
              <w:top w:val="single" w:sz="4" w:space="0" w:color="7F7F7F"/>
              <w:bottom w:val="single" w:sz="4" w:space="0" w:color="7F7F7F"/>
            </w:tcBorders>
            <w:shd w:val="clear" w:color="auto" w:fill="auto"/>
            <w:vAlign w:val="center"/>
          </w:tcPr>
          <w:p w14:paraId="288DF69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1067,364</w:t>
            </w:r>
          </w:p>
        </w:tc>
        <w:tc>
          <w:tcPr>
            <w:tcW w:w="1134" w:type="dxa"/>
            <w:tcBorders>
              <w:top w:val="single" w:sz="4" w:space="0" w:color="7F7F7F"/>
              <w:bottom w:val="single" w:sz="4" w:space="0" w:color="7F7F7F"/>
            </w:tcBorders>
            <w:shd w:val="clear" w:color="auto" w:fill="auto"/>
            <w:vAlign w:val="center"/>
          </w:tcPr>
          <w:p w14:paraId="6939DBB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29 522</w:t>
            </w:r>
          </w:p>
        </w:tc>
      </w:tr>
    </w:tbl>
    <w:p w14:paraId="0B09A643" w14:textId="77777777" w:rsidR="008919C5" w:rsidRPr="004826D1" w:rsidRDefault="008919C5" w:rsidP="002E584B">
      <w:pPr>
        <w:pStyle w:val="Heading31"/>
        <w:rPr>
          <w:rStyle w:val="normaltextrun"/>
          <w:rFonts w:ascii="Times New Roman" w:hAnsi="Times New Roman"/>
          <w:sz w:val="22"/>
          <w:szCs w:val="22"/>
          <w:lang w:val="lv-LV"/>
        </w:rPr>
      </w:pPr>
    </w:p>
    <w:p w14:paraId="0C3C0F44" w14:textId="77777777" w:rsidR="008919C5" w:rsidRPr="007A6B93" w:rsidRDefault="008919C5" w:rsidP="002E584B">
      <w:pPr>
        <w:pStyle w:val="Heading31"/>
        <w:rPr>
          <w:rStyle w:val="normaltextrun"/>
          <w:rFonts w:ascii="Times New Roman" w:hAnsi="Times New Roman"/>
          <w:sz w:val="24"/>
          <w:szCs w:val="24"/>
          <w:lang w:val="lv-LV"/>
        </w:rPr>
      </w:pPr>
    </w:p>
    <w:p w14:paraId="77225CA5" w14:textId="77777777" w:rsidR="002E584B" w:rsidRPr="007A6B93" w:rsidRDefault="002E584B" w:rsidP="00D50C48">
      <w:pPr>
        <w:pStyle w:val="Heading31"/>
        <w:spacing w:before="120"/>
        <w:jc w:val="both"/>
        <w:rPr>
          <w:rFonts w:ascii="Times New Roman" w:hAnsi="Times New Roman"/>
          <w:sz w:val="24"/>
          <w:szCs w:val="24"/>
          <w:lang w:val="lv-LV"/>
        </w:rPr>
      </w:pPr>
      <w:bookmarkStart w:id="188" w:name="_Toc169602263"/>
      <w:r w:rsidRPr="007A6B93">
        <w:rPr>
          <w:rStyle w:val="normaltextrun"/>
          <w:rFonts w:ascii="Times New Roman" w:hAnsi="Times New Roman"/>
          <w:sz w:val="24"/>
          <w:szCs w:val="24"/>
          <w:lang w:val="lv-LV"/>
        </w:rPr>
        <w:t>3.2.</w:t>
      </w:r>
      <w:r w:rsidR="008919C5" w:rsidRPr="007A6B93">
        <w:rPr>
          <w:rStyle w:val="normaltextrun"/>
          <w:rFonts w:ascii="Times New Roman" w:hAnsi="Times New Roman"/>
          <w:sz w:val="24"/>
          <w:szCs w:val="24"/>
          <w:lang w:val="lv-LV"/>
        </w:rPr>
        <w:t>2.11</w:t>
      </w:r>
      <w:r w:rsidRPr="007A6B93">
        <w:rPr>
          <w:rStyle w:val="normaltextrun"/>
          <w:rFonts w:ascii="Times New Roman" w:hAnsi="Times New Roman"/>
          <w:sz w:val="24"/>
          <w:szCs w:val="24"/>
          <w:lang w:val="lv-LV"/>
        </w:rPr>
        <w:t>. Augstas efektivitātes koģenerācijas izmantošanas un efektīvas CSA un CAA potenciāls</w:t>
      </w:r>
      <w:bookmarkEnd w:id="188"/>
      <w:r w:rsidRPr="007A6B93">
        <w:rPr>
          <w:rStyle w:val="eop"/>
          <w:rFonts w:ascii="Times New Roman" w:hAnsi="Times New Roman"/>
          <w:sz w:val="24"/>
          <w:szCs w:val="24"/>
          <w:lang w:val="lv-LV"/>
        </w:rPr>
        <w:t> </w:t>
      </w:r>
    </w:p>
    <w:p w14:paraId="7C4927F0"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Latvija ir veikusi “Augstas efektivitātes koģenerācijas un efektīvas centralizētās siltumapgādes un dzesēšanas izmantošanas potenciāla visaptverošs izvērtējums un izmaksu un ieguvumu analīze atbilstoši Direktīvas 2012/27/ES prasībām”</w:t>
      </w:r>
      <w:r w:rsidRPr="007A6B93">
        <w:rPr>
          <w:rStyle w:val="FootnoteReference"/>
          <w:rFonts w:ascii="Times New Roman" w:hAnsi="Times New Roman"/>
          <w:color w:val="auto"/>
          <w:sz w:val="24"/>
          <w:szCs w:val="24"/>
        </w:rPr>
        <w:footnoteReference w:id="44"/>
      </w:r>
      <w:r w:rsidRPr="007A6B93">
        <w:rPr>
          <w:rFonts w:ascii="Times New Roman" w:hAnsi="Times New Roman"/>
          <w:color w:val="auto"/>
          <w:sz w:val="24"/>
          <w:szCs w:val="24"/>
        </w:rPr>
        <w:t>. Jaunākais izvērtējums tiks veikts Direktīvas 2023/1791 transponēšanas noteiktajā termiņā, un tiks publicēts KEM tīmekļa vietnē</w:t>
      </w:r>
    </w:p>
    <w:p w14:paraId="1D8E2816"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Latvija ir apkopojusi datus par visiem CSAS operatoriem (siltumenerģijas ražotājiem), t.sk par tiem dažādu nozaru komersantiem, kas ir siltuma autoražotāji (saražotā siltumenerģija ir blakusprodukts), un ir secinājusi, ka 2023. g. Latvijas CSAS atbilst efektīvas CSAS nosacījumiem</w:t>
      </w:r>
      <w:r w:rsidRPr="007A6B93">
        <w:rPr>
          <w:rStyle w:val="FootnoteReference"/>
          <w:rFonts w:ascii="Times New Roman" w:hAnsi="Times New Roman"/>
          <w:color w:val="auto"/>
          <w:sz w:val="24"/>
          <w:szCs w:val="24"/>
        </w:rPr>
        <w:footnoteReference w:id="45"/>
      </w:r>
      <w:r w:rsidRPr="007A6B93">
        <w:rPr>
          <w:rFonts w:ascii="Times New Roman" w:hAnsi="Times New Roman"/>
          <w:color w:val="auto"/>
          <w:sz w:val="24"/>
          <w:szCs w:val="24"/>
        </w:rPr>
        <w:t>, jo 2023. g. 94,6% no Latvijas CSAS siltumenerģijas ražotājiem atbilst Direktīvā 2023/1791 noteiktajiem efektīvas siltumapgādes sistēmas kritērijiem. 2023. g. 44 no 230 CSAS siltumenerģijas ražotājiem neatbilda noteiktajiem kritērijiem, kur lielākā daļa ir mazie siltumenerģijas ražotāji, kas pārsvarā ir dabasgāzes izmantotāji, vai tie mazākā apjomā nekā kritērijos noteikts izmanto AER, piemēram, vienam ražotājam AE īpatsvars ir 48,2%, bet citam AER un koģenerācijas kombinācija bija 44,3%. Ir paredzams, ka nākotnē šis skaits mazināsies, ņemot vērā jauno biomasas kurināmā sadedzināšanas iekārtu darbību uzsākšanu 2023. - 2024. g. apkures sezonā.</w:t>
      </w:r>
    </w:p>
    <w:p w14:paraId="71A49E3E" w14:textId="77777777" w:rsidR="00E83FD1" w:rsidRPr="007A6B93" w:rsidRDefault="00E83FD1" w:rsidP="00D50C48">
      <w:pPr>
        <w:pStyle w:val="Heading31"/>
        <w:spacing w:before="120"/>
        <w:jc w:val="both"/>
        <w:rPr>
          <w:rFonts w:ascii="Times New Roman" w:hAnsi="Times New Roman"/>
          <w:sz w:val="24"/>
          <w:szCs w:val="24"/>
          <w:lang w:val="lv-LV"/>
        </w:rPr>
      </w:pPr>
    </w:p>
    <w:p w14:paraId="5357B0F3" w14:textId="77777777" w:rsidR="00D905F0" w:rsidRPr="007A6B93" w:rsidRDefault="00D905F0" w:rsidP="00D50C48">
      <w:pPr>
        <w:pStyle w:val="Heading31"/>
        <w:spacing w:before="120"/>
        <w:jc w:val="both"/>
        <w:rPr>
          <w:rFonts w:ascii="Times New Roman" w:hAnsi="Times New Roman"/>
          <w:sz w:val="24"/>
          <w:szCs w:val="24"/>
          <w:lang w:val="lv-LV"/>
        </w:rPr>
      </w:pPr>
      <w:bookmarkStart w:id="189" w:name="_Toc169602264"/>
      <w:r w:rsidRPr="007A6B93">
        <w:rPr>
          <w:rStyle w:val="normaltextrun"/>
          <w:rFonts w:ascii="Times New Roman" w:hAnsi="Times New Roman"/>
          <w:sz w:val="24"/>
          <w:szCs w:val="24"/>
          <w:lang w:val="lv-LV"/>
        </w:rPr>
        <w:t>3.2.2.12. Pielāgošanās klimata pārmaiņām s</w:t>
      </w:r>
      <w:r w:rsidRPr="007A6B93">
        <w:rPr>
          <w:rFonts w:ascii="Times New Roman" w:hAnsi="Times New Roman"/>
          <w:sz w:val="24"/>
          <w:szCs w:val="24"/>
          <w:lang w:val="lv-LV"/>
        </w:rPr>
        <w:t>asniedzamie mērķi</w:t>
      </w:r>
      <w:bookmarkEnd w:id="189"/>
    </w:p>
    <w:p w14:paraId="662C4101" w14:textId="77777777" w:rsidR="00D50C48" w:rsidRPr="007A6B93" w:rsidRDefault="00D50C48" w:rsidP="00D50C48">
      <w:pPr>
        <w:spacing w:before="120" w:after="120"/>
        <w:jc w:val="both"/>
        <w:rPr>
          <w:szCs w:val="24"/>
          <w:lang w:eastAsia="en-GB"/>
        </w:rPr>
      </w:pPr>
      <w:r w:rsidRPr="007A6B93">
        <w:rPr>
          <w:szCs w:val="24"/>
          <w:lang w:eastAsia="en-GB"/>
        </w:rPr>
        <w:t xml:space="preserve">LPKPP, ir sagatavots,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izvērtējumu; pielāgošanās plānošanu; pielāgošanās pasākumu ieviešanu; monitoringu un izvērtēšanu. LPKPP izstrādes pamatā ir Latvijas līdzšinējo klimata pārmaiņu analīze un klimata pārmaiņu scenāriji periodam līdz 2100.gadam, kā arī Latvijā veiktie klimata pārmaiņu ietekmju un risku izvērtējumi tādās sešās jomās kā būvniecība un infrastruktūras plānošana, civilā aizsardzība un katastrofu pārvaldība, veselība un labklājība, bioloģiskā daudzveidība un ekosistēmu pakalpojumi, lauksaimniecība un mežsaimniecība, tūrisms un ainavu plānošana. </w:t>
      </w:r>
    </w:p>
    <w:p w14:paraId="4AC69E53" w14:textId="1EFB4AC8" w:rsidR="00D50C48" w:rsidRPr="007A6B93" w:rsidRDefault="00D50C48" w:rsidP="00D50C48">
      <w:pPr>
        <w:spacing w:before="120" w:after="120"/>
        <w:jc w:val="both"/>
        <w:rPr>
          <w:szCs w:val="24"/>
          <w:lang w:eastAsia="en-GB"/>
        </w:rPr>
      </w:pPr>
      <w:r w:rsidRPr="007A6B93">
        <w:rPr>
          <w:szCs w:val="24"/>
          <w:lang w:eastAsia="en-GB"/>
        </w:rPr>
        <w:t>LVĢMC strādā pie jauno klimata scenāriju izstrādes Latvijai laika posmam līdz 2100. gadam , kuri pamatosies uz jaunāko KPSP ekspertu grupas Sestajā Novērtējuma ziņojumā (AR6)</w:t>
      </w:r>
      <w:r w:rsidR="00857535">
        <w:rPr>
          <w:szCs w:val="24"/>
          <w:lang w:eastAsia="en-GB"/>
        </w:rPr>
        <w:t xml:space="preserve"> </w:t>
      </w:r>
      <w:r w:rsidRPr="007A6B93">
        <w:rPr>
          <w:szCs w:val="24"/>
          <w:lang w:eastAsia="en-GB"/>
        </w:rPr>
        <w:t>pieņemtajiem SEG emisiju scenārijiem. Scenāriju izstrāde plānota 2024. gada pavasarī.</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9072"/>
      </w:tblGrid>
      <w:tr w:rsidR="00D905F0" w:rsidRPr="00D369E2" w14:paraId="71C1930F" w14:textId="77777777" w:rsidTr="00D369E2">
        <w:trPr>
          <w:trHeight w:val="397"/>
          <w:jc w:val="center"/>
        </w:trPr>
        <w:tc>
          <w:tcPr>
            <w:tcW w:w="9072" w:type="dxa"/>
            <w:tcBorders>
              <w:bottom w:val="single" w:sz="4" w:space="0" w:color="7F7F7F"/>
            </w:tcBorders>
            <w:shd w:val="clear" w:color="auto" w:fill="auto"/>
            <w:vAlign w:val="center"/>
          </w:tcPr>
          <w:p w14:paraId="40B4C39F" w14:textId="77777777" w:rsidR="00D905F0" w:rsidRPr="00D369E2" w:rsidRDefault="00D905F0" w:rsidP="00D369E2">
            <w:pPr>
              <w:jc w:val="center"/>
              <w:rPr>
                <w:rFonts w:eastAsia="Calibri" w:cs="Times New Roman"/>
                <w:b/>
                <w:bCs/>
                <w:color w:val="000000"/>
                <w:sz w:val="22"/>
                <w:szCs w:val="22"/>
              </w:rPr>
            </w:pPr>
            <w:r w:rsidRPr="00D369E2">
              <w:rPr>
                <w:rFonts w:eastAsia="Calibri" w:cs="Times New Roman"/>
                <w:b/>
                <w:bCs/>
                <w:color w:val="000000"/>
                <w:sz w:val="22"/>
                <w:szCs w:val="22"/>
              </w:rPr>
              <w:t>Mērķis</w:t>
            </w:r>
          </w:p>
        </w:tc>
      </w:tr>
      <w:tr w:rsidR="00D905F0" w:rsidRPr="00D369E2" w14:paraId="19A730C3" w14:textId="77777777" w:rsidTr="00D369E2">
        <w:trPr>
          <w:trHeight w:val="397"/>
          <w:jc w:val="center"/>
        </w:trPr>
        <w:tc>
          <w:tcPr>
            <w:tcW w:w="9072" w:type="dxa"/>
            <w:tcBorders>
              <w:top w:val="single" w:sz="4" w:space="0" w:color="7F7F7F"/>
              <w:bottom w:val="single" w:sz="4" w:space="0" w:color="7F7F7F"/>
            </w:tcBorders>
            <w:shd w:val="clear" w:color="auto" w:fill="auto"/>
            <w:vAlign w:val="center"/>
          </w:tcPr>
          <w:p w14:paraId="2A33A0A9" w14:textId="77777777" w:rsidR="00D905F0" w:rsidRPr="00D369E2" w:rsidRDefault="00D905F0" w:rsidP="00D369E2">
            <w:pPr>
              <w:jc w:val="both"/>
              <w:rPr>
                <w:rFonts w:eastAsia="Calibri" w:cs="Times New Roman"/>
                <w:color w:val="000000"/>
                <w:sz w:val="22"/>
                <w:szCs w:val="22"/>
              </w:rPr>
            </w:pPr>
            <w:r w:rsidRPr="00D369E2">
              <w:rPr>
                <w:rFonts w:eastAsia="Calibri" w:cs="Times New Roman"/>
                <w:color w:val="000000"/>
                <w:sz w:val="22"/>
                <w:szCs w:val="22"/>
              </w:rPr>
              <w:t>Mazināt Latvijas cilvēku, tautsaimniecības, infrastruktūras, apbūves un dabas ievainojamību pret klimata pārmaiņu ietekmēm un veicināt klimata pārmaiņu radīto iespēju izmantošanu.</w:t>
            </w:r>
          </w:p>
        </w:tc>
      </w:tr>
    </w:tbl>
    <w:p w14:paraId="3E06799D" w14:textId="77777777" w:rsidR="00D905F0" w:rsidRPr="004826D1" w:rsidRDefault="00D905F0" w:rsidP="00D905F0">
      <w:pPr>
        <w:rPr>
          <w:rFonts w:cs="Times New Roman"/>
          <w:sz w:val="22"/>
          <w:szCs w:val="22"/>
          <w:lang w:eastAsia="en-GB"/>
        </w:rPr>
      </w:pPr>
    </w:p>
    <w:p w14:paraId="19744E89" w14:textId="77777777" w:rsidR="00D905F0" w:rsidRPr="004826D1" w:rsidRDefault="00D905F0" w:rsidP="00D905F0">
      <w:pPr>
        <w:rPr>
          <w:rFonts w:cs="Times New Roman"/>
          <w:sz w:val="22"/>
          <w:szCs w:val="22"/>
          <w:lang w:eastAsia="en-GB"/>
        </w:rPr>
      </w:pPr>
    </w:p>
    <w:p w14:paraId="1DF590B9" w14:textId="77777777" w:rsidR="00C65D73" w:rsidRPr="007A6B93" w:rsidRDefault="00C65D73" w:rsidP="00C65D73">
      <w:pPr>
        <w:pStyle w:val="Heading31"/>
        <w:rPr>
          <w:rFonts w:ascii="Times New Roman" w:hAnsi="Times New Roman"/>
          <w:sz w:val="24"/>
          <w:szCs w:val="24"/>
          <w:lang w:val="lv-LV"/>
        </w:rPr>
      </w:pPr>
      <w:bookmarkStart w:id="190" w:name="_Toc169602265"/>
      <w:r w:rsidRPr="007A6B93">
        <w:rPr>
          <w:rFonts w:ascii="Times New Roman" w:hAnsi="Times New Roman"/>
          <w:sz w:val="24"/>
          <w:szCs w:val="24"/>
          <w:lang w:val="lv-LV"/>
        </w:rPr>
        <w:t>3.2.3.</w:t>
      </w:r>
      <w:r w:rsidRPr="007A6B93">
        <w:rPr>
          <w:rFonts w:ascii="Times New Roman" w:hAnsi="Times New Roman"/>
          <w:sz w:val="24"/>
          <w:szCs w:val="24"/>
          <w:lang w:val="lv-LV"/>
        </w:rPr>
        <w:tab/>
        <w:t>Mijiedarbība ar gaisu piesārņojošo vielu emisijām</w:t>
      </w:r>
      <w:bookmarkEnd w:id="190"/>
      <w:r w:rsidRPr="007A6B93">
        <w:rPr>
          <w:rFonts w:ascii="Times New Roman" w:hAnsi="Times New Roman"/>
          <w:sz w:val="24"/>
          <w:szCs w:val="24"/>
          <w:lang w:val="lv-LV"/>
        </w:rPr>
        <w:t xml:space="preserve"> </w:t>
      </w:r>
    </w:p>
    <w:p w14:paraId="70BDD076"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Plānā paredzēto esošo rīcībpolitiku un pasākumu, kā arī papildu nepieciešamo rīcībpolitiku un pasākumu tiešākā mijiedarbība ar gaisa piesārņojošo vielu emisiju samazināšanai īstenotajām rīcībpolitikām un pasākumiem Latvijā ir attiecībā uz smalko daļiņu (putekļu) emisijām, jo gan </w:t>
      </w:r>
      <w:r w:rsidRPr="007A6B93">
        <w:rPr>
          <w:rFonts w:cs="Times New Roman"/>
          <w:szCs w:val="24"/>
          <w:lang w:eastAsia="lv-LV"/>
        </w:rPr>
        <w:lastRenderedPageBreak/>
        <w:t xml:space="preserve">Plāna, gan </w:t>
      </w:r>
      <w:r w:rsidR="00076BFE" w:rsidRPr="007A6B93">
        <w:rPr>
          <w:rFonts w:cs="Times New Roman"/>
          <w:szCs w:val="24"/>
          <w:lang w:eastAsia="en-GB"/>
        </w:rPr>
        <w:t>“</w:t>
      </w:r>
      <w:r w:rsidR="00076BFE" w:rsidRPr="007A6B93">
        <w:rPr>
          <w:rFonts w:cs="Times New Roman"/>
          <w:szCs w:val="24"/>
        </w:rPr>
        <w:t xml:space="preserve">Gaisa piesārņojuma samazināšanas rīcības plāna 2019.-2030. gadam” (VARAM, 2019) </w:t>
      </w:r>
      <w:r w:rsidRPr="007A6B93">
        <w:rPr>
          <w:rFonts w:cs="Times New Roman"/>
          <w:szCs w:val="24"/>
          <w:lang w:eastAsia="lv-LV"/>
        </w:rPr>
        <w:t>ietvaros veikt</w:t>
      </w:r>
      <w:r w:rsidR="00076BFE" w:rsidRPr="007A6B93">
        <w:rPr>
          <w:rFonts w:cs="Times New Roman"/>
          <w:szCs w:val="24"/>
          <w:lang w:eastAsia="lv-LV"/>
        </w:rPr>
        <w:t>aj</w:t>
      </w:r>
      <w:r w:rsidRPr="007A6B93">
        <w:rPr>
          <w:rFonts w:cs="Times New Roman"/>
          <w:szCs w:val="24"/>
          <w:lang w:eastAsia="lv-LV"/>
        </w:rPr>
        <w:t xml:space="preserve">ā izvērtējumā ir secināts, ka slāpekļa oksīdu, oglekļa oksīda, nemetāna gaistošo vielu emisiju vai sēra dioksīda emisiju apjomu būtiski neietekmē klimata pārmaiņu mazināšanai plānotās un īstenotās rīcībpolitikas un pasākumi. </w:t>
      </w:r>
    </w:p>
    <w:p w14:paraId="3CF3351B"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Plāns un GPSRP2030 Latvijā tika izstrādāti harmonizēti abos politikas plānošanas dokumentos neiestrādājot tādas rīcībpolitikas un pasākumus, kuri varētu būtiski negatīvi ietekmēt klimata pārmaiņu samazināšanas, enerģētikas vai gaisa piesārņojuma samazināšanas mērķu izpildi, kur īpaši rūpīgi tika izstrādāti un plānoti pasākumi, kas ietekmē smalko daļiņu (putekļu) emisiju apjomu Latvijā. Smalko daļiņu (putekļu) emisiju pamatavoti Latvijā ir mazas jaudas enerģētika – cietās biomasas stacionārās sadedzināšanas iekārtas mājsaimniecībās un komerciālajā un sabiedriskajā sektorā, kā arī transports. </w:t>
      </w:r>
      <w:r w:rsidRPr="007A6B93">
        <w:rPr>
          <w:rFonts w:cs="Times New Roman"/>
          <w:szCs w:val="24"/>
        </w:rPr>
        <w:t xml:space="preserve">Plāna </w:t>
      </w:r>
      <w:r w:rsidR="001503F4" w:rsidRPr="007A6B93">
        <w:rPr>
          <w:rFonts w:cs="Times New Roman"/>
          <w:szCs w:val="24"/>
        </w:rPr>
        <w:t>Mērķa</w:t>
      </w:r>
      <w:r w:rsidRPr="007A6B93">
        <w:rPr>
          <w:rFonts w:cs="Times New Roman"/>
          <w:szCs w:val="24"/>
          <w:lang w:eastAsia="lv-LV"/>
        </w:rPr>
        <w:t xml:space="preserve"> scenārijā smalko daļiņu (PM</w:t>
      </w:r>
      <w:r w:rsidRPr="007A6B93">
        <w:rPr>
          <w:rFonts w:cs="Times New Roman"/>
          <w:szCs w:val="24"/>
          <w:vertAlign w:val="subscript"/>
          <w:lang w:eastAsia="lv-LV"/>
        </w:rPr>
        <w:t>2,5</w:t>
      </w:r>
      <w:r w:rsidRPr="007A6B93">
        <w:rPr>
          <w:rFonts w:cs="Times New Roman"/>
          <w:szCs w:val="24"/>
          <w:lang w:eastAsia="lv-LV"/>
        </w:rPr>
        <w:t xml:space="preserve">) emisijas enerģētikas sektorā 2030.gadā samazinās par apmēram 7,5%, salīdzinot ar 2016.gadu, kas notiek galvenokārt īstenoto energoefektivitātes pasākumu dēļ. Vēja enerģijas izmantošana elektroenerģijas ražošanā </w:t>
      </w:r>
      <w:r w:rsidR="001503F4" w:rsidRPr="007A6B93">
        <w:rPr>
          <w:rFonts w:cs="Times New Roman"/>
          <w:szCs w:val="24"/>
          <w:lang w:eastAsia="lv-LV"/>
        </w:rPr>
        <w:t>Mērķa</w:t>
      </w:r>
      <w:r w:rsidRPr="007A6B93">
        <w:rPr>
          <w:rFonts w:cs="Times New Roman"/>
          <w:szCs w:val="24"/>
          <w:lang w:eastAsia="lv-LV"/>
        </w:rPr>
        <w:t xml:space="preserve"> scenārijā dod iespējas samazināt emisijas 2030.gadā par 3% pret scenāriju, kurā vēja enerģija netiek izmantota. Plānoto papildu rīcībpolitiku un pasākumu rezultātā tikai enerģētikas sektorā ir iespējams nodrošināt apmēram 34% smalko daļiņu (PM</w:t>
      </w:r>
      <w:r w:rsidR="00AA5491" w:rsidRPr="007A6B93">
        <w:rPr>
          <w:rFonts w:cs="Times New Roman"/>
          <w:szCs w:val="24"/>
          <w:vertAlign w:val="subscript"/>
          <w:lang w:eastAsia="lv-LV"/>
        </w:rPr>
        <w:t>2,5</w:t>
      </w:r>
      <w:r w:rsidRPr="007A6B93">
        <w:rPr>
          <w:rFonts w:cs="Times New Roman"/>
          <w:szCs w:val="24"/>
          <w:lang w:eastAsia="lv-LV"/>
        </w:rPr>
        <w:t>) emisiju samazinājumu salīdzinot ar 2005.gadu.</w:t>
      </w:r>
    </w:p>
    <w:p w14:paraId="5949188F" w14:textId="77777777" w:rsidR="009E693A" w:rsidRDefault="009E693A" w:rsidP="00237114">
      <w:pPr>
        <w:spacing w:before="120" w:after="120"/>
        <w:jc w:val="both"/>
        <w:rPr>
          <w:rFonts w:cs="Times New Roman"/>
          <w:b/>
          <w:szCs w:val="24"/>
        </w:rPr>
      </w:pPr>
    </w:p>
    <w:p w14:paraId="4F441C56" w14:textId="77777777" w:rsidR="00887037" w:rsidRPr="007A6B93" w:rsidRDefault="00887037" w:rsidP="00237114">
      <w:pPr>
        <w:spacing w:before="120" w:after="120"/>
        <w:jc w:val="both"/>
        <w:rPr>
          <w:rFonts w:cs="Times New Roman"/>
          <w:b/>
          <w:szCs w:val="24"/>
        </w:rPr>
      </w:pPr>
    </w:p>
    <w:p w14:paraId="6440184A" w14:textId="77777777" w:rsidR="00C65D73" w:rsidRPr="007A6B93" w:rsidRDefault="00C65D73" w:rsidP="00C65D73">
      <w:pPr>
        <w:pStyle w:val="Heading31"/>
        <w:rPr>
          <w:rFonts w:ascii="Times New Roman" w:hAnsi="Times New Roman"/>
          <w:sz w:val="24"/>
          <w:szCs w:val="24"/>
          <w:lang w:val="lv-LV"/>
        </w:rPr>
      </w:pPr>
      <w:bookmarkStart w:id="191" w:name="_Toc169602266"/>
      <w:r w:rsidRPr="007A6B93">
        <w:rPr>
          <w:rFonts w:ascii="Times New Roman" w:hAnsi="Times New Roman"/>
          <w:sz w:val="24"/>
          <w:szCs w:val="24"/>
          <w:lang w:val="lv-LV"/>
        </w:rPr>
        <w:t>3.2.4.</w:t>
      </w:r>
      <w:r w:rsidRPr="007A6B93">
        <w:rPr>
          <w:rFonts w:ascii="Times New Roman" w:hAnsi="Times New Roman"/>
          <w:sz w:val="24"/>
          <w:szCs w:val="24"/>
          <w:lang w:val="lv-LV"/>
        </w:rPr>
        <w:tab/>
        <w:t>Atjaunojamo energoresursu izmantošana</w:t>
      </w:r>
      <w:bookmarkEnd w:id="191"/>
      <w:r w:rsidRPr="007A6B93">
        <w:rPr>
          <w:rFonts w:ascii="Times New Roman" w:hAnsi="Times New Roman"/>
          <w:sz w:val="24"/>
          <w:szCs w:val="24"/>
          <w:lang w:val="lv-LV"/>
        </w:rPr>
        <w:t xml:space="preserve"> </w:t>
      </w:r>
    </w:p>
    <w:p w14:paraId="09F0AFC5" w14:textId="77777777" w:rsidR="004826D1" w:rsidRPr="007A6B93" w:rsidRDefault="004826D1" w:rsidP="004826D1">
      <w:pPr>
        <w:pStyle w:val="Heading31"/>
        <w:spacing w:before="120"/>
        <w:jc w:val="both"/>
        <w:rPr>
          <w:rFonts w:ascii="Times New Roman" w:hAnsi="Times New Roman"/>
          <w:sz w:val="24"/>
          <w:szCs w:val="24"/>
          <w:lang w:val="lv-LV"/>
        </w:rPr>
      </w:pPr>
      <w:bookmarkStart w:id="192" w:name="_Toc169602267"/>
      <w:r w:rsidRPr="007A6B93">
        <w:rPr>
          <w:rStyle w:val="normaltextrun"/>
          <w:rFonts w:ascii="Times New Roman" w:hAnsi="Times New Roman"/>
          <w:sz w:val="24"/>
          <w:szCs w:val="24"/>
          <w:lang w:val="lv-LV"/>
        </w:rPr>
        <w:t>3.2.4.1. AE īpatsvara Plāna scenārijs</w:t>
      </w:r>
      <w:bookmarkEnd w:id="192"/>
      <w:r w:rsidRPr="007A6B93">
        <w:rPr>
          <w:rStyle w:val="eop"/>
          <w:rFonts w:ascii="Times New Roman" w:hAnsi="Times New Roman"/>
          <w:sz w:val="24"/>
          <w:szCs w:val="24"/>
          <w:lang w:val="lv-LV"/>
        </w:rPr>
        <w:t> </w:t>
      </w:r>
    </w:p>
    <w:p w14:paraId="7193C6B8" w14:textId="77777777" w:rsidR="002D5C06" w:rsidRDefault="002D5C06" w:rsidP="00462A02">
      <w:pPr>
        <w:spacing w:before="120" w:after="120"/>
        <w:jc w:val="both"/>
        <w:rPr>
          <w:rFonts w:cs="Times New Roman"/>
          <w:szCs w:val="24"/>
        </w:rPr>
      </w:pPr>
      <w:r w:rsidRPr="007A6B93">
        <w:rPr>
          <w:rFonts w:cs="Times New Roman"/>
          <w:szCs w:val="24"/>
        </w:rPr>
        <w:t xml:space="preserve">Izvērtējot Plānā ieplānotos pasākumus un ņemot vērā obligāti īstenojamo ES tiesību aktu nosacījumus un mērķus, AE īpatsvars enerģijas galapatēriņā </w:t>
      </w:r>
      <w:r w:rsidR="004826D1" w:rsidRPr="007A6B93">
        <w:rPr>
          <w:rFonts w:cs="Times New Roman"/>
          <w:szCs w:val="24"/>
        </w:rPr>
        <w:t>Plāna</w:t>
      </w:r>
      <w:r w:rsidRPr="007A6B93">
        <w:rPr>
          <w:rFonts w:cs="Times New Roman"/>
          <w:szCs w:val="24"/>
        </w:rPr>
        <w:t xml:space="preserve"> pasākumu scenārijā līdz 2030. gadam pieaugs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33</w:t>
      </w:r>
      <w:r w:rsidR="00E87B56">
        <w:rPr>
          <w:rFonts w:eastAsia="Cambria" w:cs="Times New Roman"/>
          <w:szCs w:val="24"/>
        </w:rPr>
        <w:t>. </w:t>
      </w:r>
      <w:r w:rsidR="00E87B56" w:rsidRPr="00D346E7">
        <w:rPr>
          <w:rFonts w:eastAsia="Cambria" w:cs="Times New Roman"/>
          <w:szCs w:val="24"/>
        </w:rPr>
        <w:t>att</w:t>
      </w:r>
      <w:r w:rsidR="00E87B56">
        <w:rPr>
          <w:rFonts w:eastAsia="Cambria" w:cs="Times New Roman"/>
          <w:szCs w:val="24"/>
        </w:rPr>
        <w:t>.</w:t>
      </w:r>
      <w:r w:rsidR="00E87B56" w:rsidRPr="00D346E7">
        <w:rPr>
          <w:rFonts w:eastAsia="Cambria" w:cs="Times New Roman"/>
          <w:szCs w:val="24"/>
        </w:rPr>
        <w:t>)</w:t>
      </w:r>
      <w:r w:rsidR="00E87B56">
        <w:rPr>
          <w:rFonts w:eastAsia="Cambria" w:cs="Times New Roman"/>
          <w:szCs w:val="24"/>
        </w:rPr>
        <w:t xml:space="preserve"> </w:t>
      </w:r>
      <w:r w:rsidRPr="007A6B93">
        <w:rPr>
          <w:rFonts w:cs="Times New Roman"/>
          <w:szCs w:val="24"/>
        </w:rPr>
        <w:t>līdz 49%, t.sk., ja tiek pilnībā sasniegti mērķi transporta sektorā.</w:t>
      </w:r>
    </w:p>
    <w:p w14:paraId="4D3B7CD9" w14:textId="77777777" w:rsidR="00602984" w:rsidRDefault="00602984" w:rsidP="00462A02">
      <w:pPr>
        <w:spacing w:before="120" w:after="120"/>
        <w:jc w:val="both"/>
        <w:rPr>
          <w:rFonts w:cs="Times New Roman"/>
          <w:szCs w:val="24"/>
        </w:rPr>
      </w:pPr>
      <w:r w:rsidRPr="007A6B93">
        <w:rPr>
          <w:rFonts w:cs="Times New Roman"/>
          <w:szCs w:val="24"/>
        </w:rPr>
        <w:t>Plāna pasākumu scenārijā būtiski pieaug atjaunīgās elektroenerģijas īpatsvars, tam pieaugot no apmēram 51% 2021. gadā līdz 68% 2030. gadā, kas tiek nodrošināts ar būtisku saules un vēja enerģijas pieaugumu – 138 un 11 kārtīgs pieaugums attiecīgi. Ņemot vērā ekonomikas un īpaši transporta sektora elektrifikāciju tiek prognozēts 15,4% elekt</w:t>
      </w:r>
      <w:r>
        <w:rPr>
          <w:rFonts w:cs="Times New Roman"/>
          <w:szCs w:val="24"/>
        </w:rPr>
        <w:t>roenerģijas patēriņa pieaugums.</w:t>
      </w:r>
    </w:p>
    <w:p w14:paraId="7324364D" w14:textId="77777777" w:rsidR="00887037" w:rsidRPr="007A6B93" w:rsidRDefault="00887037" w:rsidP="00887037">
      <w:pPr>
        <w:spacing w:before="120" w:after="120"/>
        <w:jc w:val="both"/>
        <w:rPr>
          <w:rFonts w:cs="Times New Roman"/>
          <w:szCs w:val="24"/>
        </w:rPr>
      </w:pPr>
      <w:r w:rsidRPr="007A6B93">
        <w:rPr>
          <w:rFonts w:cs="Times New Roman"/>
          <w:szCs w:val="24"/>
        </w:rPr>
        <w:t>Periodā līdz 2030. gadam NEKP pasākumu scenārijā netiek prognozētas būtiskas izmaiņas AE īpatsvarā CSA, kas periodā līdz 2030. gadam samazināsies par 3 procentpunktiem, kas ir skaidrojams ar vidējas intensitātes programmu īstenošanu, pārejot no dabasgāzes izmantošanu uz cietā biomasas kurināmā izmantošanu CSA. Vienlaikus AE īpatsvars siltumapgādē (ārpus CSA) palielināsies par apmēram 5 procentpunktiem līdz 65% 2030. gadā, ņemot vērā paredzētās atbalsta programmas individuālai siltumapgādei rūpniecības, komerciālā un sabiedriskā sektorā un mājsaimniecībās un īstenotos mājsaimniecību pasākumus ārpus atbalsta programmām, piemēram, siltumsūkņu uzstādīšana, saules tehnoloģiju izmantošana apsildei u.c. un energoefektivitātes uzlabošanai mājsaimniecībās. Ņemot vērā aktivitātes individuālajā siltumapgādē, kopējais AE īpatsvars siltumapgādē palielināsies par apmēram 4 procentpunktiem, sasniedzot apmēram 62%.</w:t>
      </w:r>
    </w:p>
    <w:p w14:paraId="17BE1B26" w14:textId="77777777" w:rsidR="00887037" w:rsidRPr="007A6B93" w:rsidRDefault="00887037" w:rsidP="00462A02">
      <w:pPr>
        <w:spacing w:before="120" w:after="120"/>
        <w:jc w:val="both"/>
        <w:rPr>
          <w:rFonts w:cs="Times New Roman"/>
          <w:szCs w:val="24"/>
        </w:rPr>
      </w:pPr>
    </w:p>
    <w:p w14:paraId="7E318258" w14:textId="7FDBF666" w:rsidR="00462A02" w:rsidRPr="007A6B93" w:rsidRDefault="000654E1" w:rsidP="007A6B93">
      <w:pPr>
        <w:spacing w:before="120" w:after="120"/>
        <w:jc w:val="center"/>
        <w:rPr>
          <w:rFonts w:cs="Times New Roman"/>
          <w:szCs w:val="24"/>
        </w:rPr>
      </w:pPr>
      <w:r>
        <w:rPr>
          <w:rFonts w:cs="Times New Roman"/>
          <w:noProof/>
          <w:szCs w:val="24"/>
          <w:lang w:eastAsia="lv-LV"/>
        </w:rPr>
        <w:lastRenderedPageBreak/>
        <w:drawing>
          <wp:inline distT="0" distB="0" distL="0" distR="0" wp14:anchorId="0554CFE6" wp14:editId="33528598">
            <wp:extent cx="5743575" cy="3467100"/>
            <wp:effectExtent l="0" t="0" r="9525" b="0"/>
            <wp:docPr id="34" name="Picture 73325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2557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3575" cy="3467100"/>
                    </a:xfrm>
                    <a:prstGeom prst="rect">
                      <a:avLst/>
                    </a:prstGeom>
                    <a:noFill/>
                    <a:ln>
                      <a:noFill/>
                    </a:ln>
                  </pic:spPr>
                </pic:pic>
              </a:graphicData>
            </a:graphic>
          </wp:inline>
        </w:drawing>
      </w:r>
      <w:r w:rsidR="00E87B56" w:rsidRPr="00E87B56">
        <w:rPr>
          <w:rFonts w:cs="Times New Roman"/>
          <w:b/>
          <w:noProof/>
          <w:szCs w:val="24"/>
          <w:lang w:eastAsia="lv-LV"/>
        </w:rPr>
        <w:t>3.</w:t>
      </w:r>
      <w:r w:rsidR="00367DDE">
        <w:rPr>
          <w:rFonts w:cs="Times New Roman"/>
          <w:b/>
          <w:noProof/>
          <w:szCs w:val="24"/>
          <w:lang w:eastAsia="lv-LV"/>
        </w:rPr>
        <w:t>33</w:t>
      </w:r>
      <w:r w:rsidR="00E87B56" w:rsidRPr="00E87B56">
        <w:rPr>
          <w:rFonts w:cs="Times New Roman"/>
          <w:b/>
          <w:noProof/>
          <w:szCs w:val="24"/>
          <w:lang w:eastAsia="lv-LV"/>
        </w:rPr>
        <w:t>.</w:t>
      </w:r>
      <w:r w:rsidR="00F732C7" w:rsidRPr="00E87B56">
        <w:rPr>
          <w:rFonts w:cs="Times New Roman"/>
          <w:b/>
          <w:szCs w:val="24"/>
        </w:rPr>
        <w:t xml:space="preserve"> </w:t>
      </w:r>
      <w:bookmarkStart w:id="193" w:name="_Toc531333106"/>
      <w:bookmarkStart w:id="194" w:name="_Toc23782691"/>
      <w:r w:rsidR="00F732C7" w:rsidRPr="00E87B56">
        <w:rPr>
          <w:rFonts w:cs="Times New Roman"/>
          <w:b/>
          <w:szCs w:val="24"/>
        </w:rPr>
        <w:t xml:space="preserve">attēls. </w:t>
      </w:r>
      <w:bookmarkEnd w:id="193"/>
      <w:bookmarkEnd w:id="194"/>
      <w:r w:rsidR="002D5C06" w:rsidRPr="00E87B56">
        <w:rPr>
          <w:rFonts w:cs="Times New Roman"/>
          <w:b/>
          <w:szCs w:val="24"/>
        </w:rPr>
        <w:t>Plāna pasākumu scenārijā prognozētais AE apjoms līdz 2030.gadam (GWh)</w:t>
      </w:r>
    </w:p>
    <w:p w14:paraId="4C62714A" w14:textId="77777777" w:rsidR="00E87B56" w:rsidRDefault="00E87B56" w:rsidP="002D5C06">
      <w:pPr>
        <w:spacing w:before="120" w:after="120"/>
        <w:jc w:val="both"/>
        <w:rPr>
          <w:rFonts w:cs="Times New Roman"/>
          <w:szCs w:val="24"/>
        </w:rPr>
      </w:pPr>
    </w:p>
    <w:p w14:paraId="767770C6" w14:textId="77777777" w:rsidR="004826D1" w:rsidRDefault="004826D1" w:rsidP="004826D1">
      <w:pPr>
        <w:spacing w:before="120" w:after="120"/>
        <w:jc w:val="both"/>
        <w:rPr>
          <w:rFonts w:cs="Times New Roman"/>
          <w:szCs w:val="24"/>
        </w:rPr>
      </w:pPr>
      <w:r w:rsidRPr="007A6B93">
        <w:rPr>
          <w:rFonts w:cs="Times New Roman"/>
          <w:szCs w:val="24"/>
        </w:rPr>
        <w:t>NEKP pasākumu scenārijā, degvielas piegādātājiem, nosakot Direktīvas 2018/2001 25. pantā noteiktos SEG emisiju intensitātes un atjaunīgās transporta enerģijas mērķus, kas būtiski palielinās modernās biodegvielas un RFNBO izmantojumu, kā arī, īstenojot tādus pasākumus, tai skaitā EV iegādes atbalsta programmas, kas nodrošina būtisku transporta sektora elektrifikāciju, periodā līdz 2030. gadam AE īpatsvars varētu sasniegt 27% (ar Direktīvas 2018/2001 27. pantā noteiktajiem reizinātājiem) vai varētu pārsniegt 14% aktuālo atjaunīgās transporta enerģijas īpatsvaru. Minētais īpatsvars tiktu sasniegts ar moderno biodegvielu, RFNBO un atjaunīgo elektroenerģiju.</w:t>
      </w:r>
    </w:p>
    <w:p w14:paraId="5F2E45A7" w14:textId="77777777" w:rsidR="007A6B93" w:rsidRPr="007A6B93" w:rsidRDefault="007A6B93" w:rsidP="004826D1">
      <w:pPr>
        <w:spacing w:before="120" w:after="120"/>
        <w:jc w:val="both"/>
        <w:rPr>
          <w:rFonts w:cs="Times New Roman"/>
          <w:szCs w:val="24"/>
        </w:rPr>
      </w:pPr>
    </w:p>
    <w:p w14:paraId="0D32FCE6" w14:textId="77777777" w:rsidR="004826D1" w:rsidRPr="007A6B93" w:rsidRDefault="004826D1" w:rsidP="004826D1">
      <w:pPr>
        <w:pStyle w:val="Heading31"/>
        <w:spacing w:before="120"/>
        <w:jc w:val="both"/>
        <w:rPr>
          <w:rFonts w:ascii="Times New Roman" w:hAnsi="Times New Roman"/>
          <w:sz w:val="24"/>
          <w:szCs w:val="24"/>
          <w:lang w:val="lv-LV"/>
        </w:rPr>
      </w:pPr>
      <w:bookmarkStart w:id="195" w:name="_Toc169602268"/>
      <w:r w:rsidRPr="007A6B93">
        <w:rPr>
          <w:rStyle w:val="normaltextrun"/>
          <w:rFonts w:ascii="Times New Roman" w:hAnsi="Times New Roman"/>
          <w:sz w:val="24"/>
          <w:szCs w:val="24"/>
          <w:lang w:val="lv-LV"/>
        </w:rPr>
        <w:t>3.2.4.</w:t>
      </w:r>
      <w:r w:rsidR="007A6B93">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Alternatīvie AE īpatsvara mērķa scenāriji</w:t>
      </w:r>
      <w:bookmarkEnd w:id="195"/>
    </w:p>
    <w:p w14:paraId="781CC63D" w14:textId="77777777" w:rsidR="002D5C06" w:rsidRDefault="004826D1" w:rsidP="004826D1">
      <w:pPr>
        <w:spacing w:before="120" w:after="120"/>
        <w:jc w:val="both"/>
        <w:rPr>
          <w:rFonts w:cs="Times New Roman"/>
          <w:szCs w:val="24"/>
        </w:rPr>
      </w:pPr>
      <w:r w:rsidRPr="007A6B93">
        <w:rPr>
          <w:rFonts w:cs="Times New Roman"/>
          <w:szCs w:val="24"/>
        </w:rPr>
        <w:t>Ņemot vērā enerģētikas modelēšanas rezultātus</w:t>
      </w:r>
      <w:r w:rsidR="00E87B56">
        <w:rPr>
          <w:rFonts w:cs="Times New Roman"/>
          <w:szCs w:val="24"/>
        </w:rPr>
        <w:t xml:space="preserve">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3.3. tab.</w:t>
      </w:r>
      <w:r w:rsidR="00E87B56" w:rsidRPr="00D346E7">
        <w:rPr>
          <w:rFonts w:eastAsia="Cambria" w:cs="Times New Roman"/>
          <w:szCs w:val="24"/>
        </w:rPr>
        <w:t>)</w:t>
      </w:r>
      <w:r w:rsidRPr="007A6B93">
        <w:rPr>
          <w:rFonts w:cs="Times New Roman"/>
          <w:szCs w:val="24"/>
        </w:rPr>
        <w:t>, Latvija var sasniegt 55,8% AE īpatsvaru enerģijas galapatēriņā tikai, ja tiek izpildīti visi Direktīvā 2018/2001 noteiktie AE īpatsvara sektorālie mērķi (AE apakšmērķu scenārijs), tai skaitā, tiek sasniegts atjaunīgās transporta enerģijas īpatsvars &gt;26%. Savukārt scenārijā, kad tiek sasniegts 62% kopējais AE īpatsvars enerģijas galapatēriņā, bet netiek definēti AE apakšmērķi (AE 62% īpatsvara scenārijs), šādu kopējo AE īpatsvaru ir iespējams sasniegt, ja AE īpatsvars CSA gandrīz sasniedz 100%, bet AE īpatsvars transportā atbilst Direktīvas 2018/2001 25. pantā noteiktajam mērķim. Scenārijā, kas paredz 1) SEG emisiju intensitātes mērķa sasniegšanu transportā, 2) noteikt CO2 nodokli tam kurināmajam un degvielai, kas tiek aplikta ar akcīzes nodokli, 3) noteikt papildu energoefektivitātes uzlabošanas pasākumu īstenošanu (NEKP pasākumu scenārijs+), ir iespējams sasniegt 51,8% AE īpatsvaru kopējā enerģijas galapatēriņā, būtiski nekāpinot AE īpatsvaru visos sektoros, izņemot transportu. Ir saprotams, ka kopējā AE īpatsvara mērķa kāpināšanai Latvijai būtu nepieciešams nodrošināt, ka AE sektorālie mērķi būtiski pārsniedz 60% vai 70%, bet AER īpatsva</w:t>
      </w:r>
      <w:r w:rsidR="007A6B93" w:rsidRPr="007A6B93">
        <w:rPr>
          <w:rFonts w:cs="Times New Roman"/>
          <w:szCs w:val="24"/>
        </w:rPr>
        <w:t>rs transporta sektorā sasniedz</w:t>
      </w:r>
      <w:r w:rsidRPr="007A6B93">
        <w:rPr>
          <w:rFonts w:cs="Times New Roman"/>
          <w:szCs w:val="24"/>
        </w:rPr>
        <w:t xml:space="preserve"> 30%.</w:t>
      </w:r>
    </w:p>
    <w:p w14:paraId="02EE0554" w14:textId="77777777" w:rsidR="00602984" w:rsidRPr="007A6B93" w:rsidRDefault="00602984" w:rsidP="004826D1">
      <w:pPr>
        <w:spacing w:before="120" w:after="120"/>
        <w:jc w:val="both"/>
        <w:rPr>
          <w:rFonts w:cs="Times New Roman"/>
          <w:szCs w:val="24"/>
        </w:rPr>
      </w:pPr>
    </w:p>
    <w:p w14:paraId="004F220A" w14:textId="77777777" w:rsidR="007A6B93" w:rsidRPr="007A6B93" w:rsidRDefault="00E87B56" w:rsidP="007A6B93">
      <w:pPr>
        <w:pStyle w:val="Caption"/>
        <w:jc w:val="left"/>
        <w:rPr>
          <w:sz w:val="24"/>
          <w:szCs w:val="24"/>
        </w:rPr>
      </w:pPr>
      <w:r>
        <w:rPr>
          <w:sz w:val="24"/>
          <w:szCs w:val="24"/>
        </w:rPr>
        <w:lastRenderedPageBreak/>
        <w:t>3.3</w:t>
      </w:r>
      <w:r w:rsidR="007A6B93" w:rsidRPr="007A6B93">
        <w:rPr>
          <w:sz w:val="24"/>
          <w:szCs w:val="24"/>
        </w:rPr>
        <w:t>. tabula. AE īpatsvars 2030.gadā dažādos enerģētikas modelēšanas scenārijos (%)</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2052"/>
        <w:gridCol w:w="2052"/>
      </w:tblGrid>
      <w:tr w:rsidR="007A6B93" w:rsidRPr="00D369E2" w14:paraId="06E21935" w14:textId="77777777" w:rsidTr="00D369E2">
        <w:trPr>
          <w:trHeight w:val="340"/>
          <w:jc w:val="center"/>
        </w:trPr>
        <w:tc>
          <w:tcPr>
            <w:tcW w:w="3256" w:type="dxa"/>
            <w:shd w:val="clear" w:color="auto" w:fill="auto"/>
            <w:vAlign w:val="center"/>
          </w:tcPr>
          <w:p w14:paraId="76D987CA" w14:textId="77777777" w:rsidR="007A6B93" w:rsidRPr="00D369E2" w:rsidRDefault="007A6B93" w:rsidP="00D369E2">
            <w:pPr>
              <w:jc w:val="center"/>
              <w:rPr>
                <w:rFonts w:cs="Times New Roman"/>
                <w:szCs w:val="24"/>
              </w:rPr>
            </w:pPr>
            <w:r w:rsidRPr="00D369E2">
              <w:rPr>
                <w:rFonts w:cs="Times New Roman"/>
                <w:szCs w:val="24"/>
              </w:rPr>
              <w:t>Scenārijs</w:t>
            </w:r>
          </w:p>
        </w:tc>
        <w:tc>
          <w:tcPr>
            <w:tcW w:w="1984" w:type="dxa"/>
            <w:shd w:val="clear" w:color="auto" w:fill="auto"/>
            <w:vAlign w:val="center"/>
          </w:tcPr>
          <w:p w14:paraId="123B3D07" w14:textId="77777777" w:rsidR="007A6B93" w:rsidRPr="00D369E2" w:rsidRDefault="007A6B93" w:rsidP="00D369E2">
            <w:pPr>
              <w:jc w:val="center"/>
              <w:rPr>
                <w:rFonts w:cs="Times New Roman"/>
                <w:szCs w:val="24"/>
              </w:rPr>
            </w:pPr>
            <w:r w:rsidRPr="00D369E2">
              <w:rPr>
                <w:rFonts w:cs="Times New Roman"/>
                <w:szCs w:val="24"/>
              </w:rPr>
              <w:t>AE apakšmērķu scenārijs</w:t>
            </w:r>
          </w:p>
        </w:tc>
        <w:tc>
          <w:tcPr>
            <w:tcW w:w="2052" w:type="dxa"/>
            <w:shd w:val="clear" w:color="auto" w:fill="auto"/>
            <w:vAlign w:val="center"/>
          </w:tcPr>
          <w:p w14:paraId="05A0E760" w14:textId="77777777" w:rsidR="007A6B93" w:rsidRPr="00D369E2" w:rsidRDefault="007A6B93" w:rsidP="00D369E2">
            <w:pPr>
              <w:jc w:val="center"/>
              <w:rPr>
                <w:rFonts w:cs="Times New Roman"/>
                <w:szCs w:val="24"/>
              </w:rPr>
            </w:pPr>
            <w:r w:rsidRPr="00D369E2">
              <w:rPr>
                <w:rFonts w:cs="Times New Roman"/>
                <w:szCs w:val="24"/>
              </w:rPr>
              <w:t>AE 62% īpatsvara scenārijs</w:t>
            </w:r>
          </w:p>
        </w:tc>
        <w:tc>
          <w:tcPr>
            <w:tcW w:w="2052" w:type="dxa"/>
            <w:shd w:val="clear" w:color="auto" w:fill="auto"/>
            <w:vAlign w:val="center"/>
          </w:tcPr>
          <w:p w14:paraId="08D8F956" w14:textId="77777777" w:rsidR="007A6B93" w:rsidRPr="00D369E2" w:rsidRDefault="007A6B93" w:rsidP="00D369E2">
            <w:pPr>
              <w:jc w:val="center"/>
              <w:rPr>
                <w:rFonts w:cs="Times New Roman"/>
                <w:szCs w:val="24"/>
              </w:rPr>
            </w:pPr>
            <w:r w:rsidRPr="00D369E2">
              <w:rPr>
                <w:rFonts w:cs="Times New Roman"/>
                <w:szCs w:val="24"/>
              </w:rPr>
              <w:t>Plāna pasākumu scenārijs+</w:t>
            </w:r>
          </w:p>
        </w:tc>
      </w:tr>
      <w:tr w:rsidR="007A6B93" w:rsidRPr="00D369E2" w14:paraId="5432F982" w14:textId="77777777" w:rsidTr="00D369E2">
        <w:trPr>
          <w:trHeight w:val="340"/>
          <w:jc w:val="center"/>
        </w:trPr>
        <w:tc>
          <w:tcPr>
            <w:tcW w:w="3256" w:type="dxa"/>
            <w:shd w:val="clear" w:color="auto" w:fill="auto"/>
            <w:vAlign w:val="center"/>
          </w:tcPr>
          <w:p w14:paraId="2AEDCC3D" w14:textId="77777777" w:rsidR="007A6B93" w:rsidRPr="00D369E2" w:rsidRDefault="007A6B93" w:rsidP="00D369E2">
            <w:pPr>
              <w:rPr>
                <w:rFonts w:cs="Times New Roman"/>
                <w:szCs w:val="24"/>
              </w:rPr>
            </w:pPr>
            <w:r w:rsidRPr="00D369E2">
              <w:rPr>
                <w:rFonts w:cs="Times New Roman"/>
                <w:szCs w:val="24"/>
              </w:rPr>
              <w:t>AE īpatsvars</w:t>
            </w:r>
          </w:p>
        </w:tc>
        <w:tc>
          <w:tcPr>
            <w:tcW w:w="1984" w:type="dxa"/>
            <w:shd w:val="clear" w:color="auto" w:fill="auto"/>
            <w:vAlign w:val="center"/>
          </w:tcPr>
          <w:p w14:paraId="7FC10CA9" w14:textId="77777777" w:rsidR="007A6B93" w:rsidRPr="00D369E2" w:rsidRDefault="007A6B93" w:rsidP="00D369E2">
            <w:pPr>
              <w:jc w:val="center"/>
              <w:rPr>
                <w:rFonts w:cs="Times New Roman"/>
                <w:szCs w:val="24"/>
              </w:rPr>
            </w:pPr>
            <w:r w:rsidRPr="00D369E2">
              <w:rPr>
                <w:rFonts w:cs="Times New Roman"/>
                <w:szCs w:val="24"/>
              </w:rPr>
              <w:t>55,8</w:t>
            </w:r>
          </w:p>
        </w:tc>
        <w:tc>
          <w:tcPr>
            <w:tcW w:w="2052" w:type="dxa"/>
            <w:shd w:val="clear" w:color="auto" w:fill="auto"/>
            <w:vAlign w:val="center"/>
          </w:tcPr>
          <w:p w14:paraId="2C0F9AB2" w14:textId="77777777" w:rsidR="007A6B93" w:rsidRPr="00D369E2" w:rsidRDefault="007A6B93" w:rsidP="00D369E2">
            <w:pPr>
              <w:jc w:val="center"/>
              <w:rPr>
                <w:rFonts w:cs="Times New Roman"/>
                <w:szCs w:val="24"/>
              </w:rPr>
            </w:pPr>
            <w:r w:rsidRPr="00D369E2">
              <w:rPr>
                <w:rFonts w:cs="Times New Roman"/>
                <w:szCs w:val="24"/>
              </w:rPr>
              <w:t>62</w:t>
            </w:r>
          </w:p>
        </w:tc>
        <w:tc>
          <w:tcPr>
            <w:tcW w:w="2052" w:type="dxa"/>
            <w:shd w:val="clear" w:color="auto" w:fill="auto"/>
            <w:vAlign w:val="center"/>
          </w:tcPr>
          <w:p w14:paraId="6DAE5655" w14:textId="77777777" w:rsidR="007A6B93" w:rsidRPr="00D369E2" w:rsidRDefault="007A6B93" w:rsidP="00D369E2">
            <w:pPr>
              <w:jc w:val="center"/>
              <w:rPr>
                <w:rFonts w:cs="Times New Roman"/>
                <w:szCs w:val="24"/>
              </w:rPr>
            </w:pPr>
            <w:r w:rsidRPr="00D369E2">
              <w:rPr>
                <w:rFonts w:cs="Times New Roman"/>
                <w:szCs w:val="24"/>
              </w:rPr>
              <w:t>51,8</w:t>
            </w:r>
          </w:p>
        </w:tc>
      </w:tr>
      <w:tr w:rsidR="007A6B93" w:rsidRPr="00D369E2" w14:paraId="5B160526" w14:textId="77777777" w:rsidTr="00D369E2">
        <w:trPr>
          <w:trHeight w:val="340"/>
          <w:jc w:val="center"/>
        </w:trPr>
        <w:tc>
          <w:tcPr>
            <w:tcW w:w="3256" w:type="dxa"/>
            <w:shd w:val="clear" w:color="auto" w:fill="auto"/>
            <w:vAlign w:val="center"/>
          </w:tcPr>
          <w:p w14:paraId="429AC92B" w14:textId="6125BC33" w:rsidR="007A6B93" w:rsidRPr="00D369E2" w:rsidRDefault="007A6B93" w:rsidP="00D369E2">
            <w:pPr>
              <w:rPr>
                <w:rFonts w:cs="Times New Roman"/>
                <w:szCs w:val="24"/>
              </w:rPr>
            </w:pPr>
            <w:r w:rsidRPr="00D369E2">
              <w:rPr>
                <w:rFonts w:cs="Times New Roman"/>
                <w:szCs w:val="24"/>
              </w:rPr>
              <w:t>AE</w:t>
            </w:r>
            <w:r w:rsidR="00857535">
              <w:rPr>
                <w:rFonts w:cs="Times New Roman"/>
                <w:szCs w:val="24"/>
              </w:rPr>
              <w:t xml:space="preserve"> </w:t>
            </w:r>
            <w:r w:rsidRPr="00D369E2">
              <w:rPr>
                <w:rFonts w:cs="Times New Roman"/>
                <w:szCs w:val="24"/>
              </w:rPr>
              <w:t>elektroenerģijā</w:t>
            </w:r>
          </w:p>
        </w:tc>
        <w:tc>
          <w:tcPr>
            <w:tcW w:w="1984" w:type="dxa"/>
            <w:shd w:val="clear" w:color="auto" w:fill="auto"/>
            <w:vAlign w:val="center"/>
          </w:tcPr>
          <w:p w14:paraId="47244166" w14:textId="77777777" w:rsidR="007A6B93" w:rsidRPr="00D369E2" w:rsidRDefault="007A6B93" w:rsidP="00D369E2">
            <w:pPr>
              <w:jc w:val="center"/>
              <w:rPr>
                <w:rFonts w:cs="Times New Roman"/>
                <w:szCs w:val="24"/>
              </w:rPr>
            </w:pPr>
            <w:r w:rsidRPr="00D369E2">
              <w:rPr>
                <w:rFonts w:cs="Times New Roman"/>
                <w:szCs w:val="24"/>
              </w:rPr>
              <w:t>65,3</w:t>
            </w:r>
          </w:p>
        </w:tc>
        <w:tc>
          <w:tcPr>
            <w:tcW w:w="2052" w:type="dxa"/>
            <w:shd w:val="clear" w:color="auto" w:fill="auto"/>
            <w:vAlign w:val="center"/>
          </w:tcPr>
          <w:p w14:paraId="54EDCA88" w14:textId="77777777" w:rsidR="007A6B93" w:rsidRPr="00D369E2" w:rsidRDefault="007A6B93" w:rsidP="00D369E2">
            <w:pPr>
              <w:jc w:val="center"/>
              <w:rPr>
                <w:rFonts w:cs="Times New Roman"/>
                <w:szCs w:val="24"/>
              </w:rPr>
            </w:pPr>
            <w:r w:rsidRPr="00D369E2">
              <w:rPr>
                <w:rFonts w:cs="Times New Roman"/>
                <w:szCs w:val="24"/>
              </w:rPr>
              <w:t>69,8</w:t>
            </w:r>
          </w:p>
        </w:tc>
        <w:tc>
          <w:tcPr>
            <w:tcW w:w="2052" w:type="dxa"/>
            <w:shd w:val="clear" w:color="auto" w:fill="auto"/>
            <w:vAlign w:val="center"/>
          </w:tcPr>
          <w:p w14:paraId="417FB380" w14:textId="77777777" w:rsidR="007A6B93" w:rsidRPr="00D369E2" w:rsidRDefault="007A6B93" w:rsidP="00D369E2">
            <w:pPr>
              <w:jc w:val="center"/>
              <w:rPr>
                <w:rFonts w:cs="Times New Roman"/>
                <w:szCs w:val="24"/>
              </w:rPr>
            </w:pPr>
            <w:r w:rsidRPr="00D369E2">
              <w:rPr>
                <w:rFonts w:cs="Times New Roman"/>
                <w:szCs w:val="24"/>
              </w:rPr>
              <w:t>67,1</w:t>
            </w:r>
          </w:p>
        </w:tc>
      </w:tr>
      <w:tr w:rsidR="007A6B93" w:rsidRPr="00D369E2" w14:paraId="6020EB29" w14:textId="77777777" w:rsidTr="00D369E2">
        <w:trPr>
          <w:trHeight w:val="340"/>
          <w:jc w:val="center"/>
        </w:trPr>
        <w:tc>
          <w:tcPr>
            <w:tcW w:w="3256" w:type="dxa"/>
            <w:shd w:val="clear" w:color="auto" w:fill="auto"/>
            <w:vAlign w:val="center"/>
          </w:tcPr>
          <w:p w14:paraId="76D05FDD" w14:textId="77777777" w:rsidR="007A6B93" w:rsidRPr="00D369E2" w:rsidRDefault="007A6B93" w:rsidP="00D369E2">
            <w:pPr>
              <w:rPr>
                <w:rFonts w:cs="Times New Roman"/>
                <w:szCs w:val="24"/>
              </w:rPr>
            </w:pPr>
            <w:r w:rsidRPr="00D369E2">
              <w:rPr>
                <w:rFonts w:cs="Times New Roman"/>
                <w:szCs w:val="24"/>
              </w:rPr>
              <w:t>AE CSA</w:t>
            </w:r>
          </w:p>
        </w:tc>
        <w:tc>
          <w:tcPr>
            <w:tcW w:w="1984" w:type="dxa"/>
            <w:shd w:val="clear" w:color="auto" w:fill="auto"/>
            <w:vAlign w:val="center"/>
          </w:tcPr>
          <w:p w14:paraId="32FA920E" w14:textId="77777777" w:rsidR="007A6B93" w:rsidRPr="00D369E2" w:rsidRDefault="007A6B93" w:rsidP="00D369E2">
            <w:pPr>
              <w:jc w:val="center"/>
              <w:rPr>
                <w:rFonts w:cs="Times New Roman"/>
                <w:szCs w:val="24"/>
              </w:rPr>
            </w:pPr>
            <w:r w:rsidRPr="00D369E2">
              <w:rPr>
                <w:rFonts w:cs="Times New Roman"/>
                <w:szCs w:val="24"/>
              </w:rPr>
              <w:t>76,3</w:t>
            </w:r>
          </w:p>
        </w:tc>
        <w:tc>
          <w:tcPr>
            <w:tcW w:w="2052" w:type="dxa"/>
            <w:shd w:val="clear" w:color="auto" w:fill="auto"/>
            <w:vAlign w:val="center"/>
          </w:tcPr>
          <w:p w14:paraId="51C1E4CC" w14:textId="77777777" w:rsidR="007A6B93" w:rsidRPr="00D369E2" w:rsidRDefault="007A6B93" w:rsidP="00D369E2">
            <w:pPr>
              <w:jc w:val="center"/>
              <w:rPr>
                <w:rFonts w:cs="Times New Roman"/>
                <w:szCs w:val="24"/>
              </w:rPr>
            </w:pPr>
            <w:r w:rsidRPr="00D369E2">
              <w:rPr>
                <w:rFonts w:cs="Times New Roman"/>
                <w:szCs w:val="24"/>
              </w:rPr>
              <w:t>95,6</w:t>
            </w:r>
          </w:p>
        </w:tc>
        <w:tc>
          <w:tcPr>
            <w:tcW w:w="2052" w:type="dxa"/>
            <w:shd w:val="clear" w:color="auto" w:fill="auto"/>
            <w:vAlign w:val="center"/>
          </w:tcPr>
          <w:p w14:paraId="16734B6A" w14:textId="77777777" w:rsidR="007A6B93" w:rsidRPr="00D369E2" w:rsidRDefault="007A6B93" w:rsidP="00D369E2">
            <w:pPr>
              <w:jc w:val="center"/>
              <w:rPr>
                <w:rFonts w:cs="Times New Roman"/>
                <w:szCs w:val="24"/>
              </w:rPr>
            </w:pPr>
            <w:r w:rsidRPr="00D369E2">
              <w:rPr>
                <w:rFonts w:cs="Times New Roman"/>
                <w:szCs w:val="24"/>
              </w:rPr>
              <w:t>54,5</w:t>
            </w:r>
          </w:p>
        </w:tc>
      </w:tr>
      <w:tr w:rsidR="007A6B93" w:rsidRPr="00D369E2" w14:paraId="6DAF8E9B" w14:textId="77777777" w:rsidTr="00D369E2">
        <w:trPr>
          <w:trHeight w:val="340"/>
          <w:jc w:val="center"/>
        </w:trPr>
        <w:tc>
          <w:tcPr>
            <w:tcW w:w="3256" w:type="dxa"/>
            <w:shd w:val="clear" w:color="auto" w:fill="auto"/>
            <w:vAlign w:val="center"/>
          </w:tcPr>
          <w:p w14:paraId="69EA72F0" w14:textId="77777777" w:rsidR="007A6B93" w:rsidRPr="00D369E2" w:rsidRDefault="007A6B93" w:rsidP="00D369E2">
            <w:pPr>
              <w:rPr>
                <w:rFonts w:cs="Times New Roman"/>
                <w:szCs w:val="24"/>
              </w:rPr>
            </w:pPr>
            <w:r w:rsidRPr="00D369E2">
              <w:rPr>
                <w:rFonts w:cs="Times New Roman"/>
                <w:szCs w:val="24"/>
              </w:rPr>
              <w:t>AE siltumapgādē</w:t>
            </w:r>
          </w:p>
        </w:tc>
        <w:tc>
          <w:tcPr>
            <w:tcW w:w="1984" w:type="dxa"/>
            <w:shd w:val="clear" w:color="auto" w:fill="auto"/>
            <w:vAlign w:val="center"/>
          </w:tcPr>
          <w:p w14:paraId="6248425E" w14:textId="77777777" w:rsidR="007A6B93" w:rsidRPr="00D369E2" w:rsidRDefault="007A6B93" w:rsidP="00D369E2">
            <w:pPr>
              <w:jc w:val="center"/>
              <w:rPr>
                <w:rFonts w:cs="Times New Roman"/>
                <w:szCs w:val="24"/>
              </w:rPr>
            </w:pPr>
            <w:r w:rsidRPr="00D369E2">
              <w:rPr>
                <w:rFonts w:cs="Times New Roman"/>
                <w:szCs w:val="24"/>
              </w:rPr>
              <w:t>76</w:t>
            </w:r>
          </w:p>
        </w:tc>
        <w:tc>
          <w:tcPr>
            <w:tcW w:w="2052" w:type="dxa"/>
            <w:shd w:val="clear" w:color="auto" w:fill="auto"/>
            <w:vAlign w:val="center"/>
          </w:tcPr>
          <w:p w14:paraId="0927008B" w14:textId="77777777" w:rsidR="007A6B93" w:rsidRPr="00D369E2" w:rsidRDefault="007A6B93" w:rsidP="00D369E2">
            <w:pPr>
              <w:jc w:val="center"/>
              <w:rPr>
                <w:rFonts w:cs="Times New Roman"/>
                <w:szCs w:val="24"/>
              </w:rPr>
            </w:pPr>
            <w:r w:rsidRPr="00D369E2">
              <w:rPr>
                <w:rFonts w:cs="Times New Roman"/>
                <w:szCs w:val="24"/>
              </w:rPr>
              <w:t>77,4</w:t>
            </w:r>
          </w:p>
        </w:tc>
        <w:tc>
          <w:tcPr>
            <w:tcW w:w="2052" w:type="dxa"/>
            <w:shd w:val="clear" w:color="auto" w:fill="auto"/>
            <w:vAlign w:val="center"/>
          </w:tcPr>
          <w:p w14:paraId="384C99A8" w14:textId="77777777" w:rsidR="007A6B93" w:rsidRPr="00D369E2" w:rsidRDefault="007A6B93" w:rsidP="00D369E2">
            <w:pPr>
              <w:jc w:val="center"/>
              <w:rPr>
                <w:rFonts w:cs="Times New Roman"/>
                <w:szCs w:val="24"/>
              </w:rPr>
            </w:pPr>
            <w:r w:rsidRPr="00D369E2">
              <w:rPr>
                <w:rFonts w:cs="Times New Roman"/>
                <w:szCs w:val="24"/>
              </w:rPr>
              <w:t>65,2</w:t>
            </w:r>
          </w:p>
        </w:tc>
      </w:tr>
      <w:tr w:rsidR="007A6B93" w:rsidRPr="00D369E2" w14:paraId="68035E81" w14:textId="77777777" w:rsidTr="00D369E2">
        <w:trPr>
          <w:trHeight w:val="340"/>
          <w:jc w:val="center"/>
        </w:trPr>
        <w:tc>
          <w:tcPr>
            <w:tcW w:w="3256" w:type="dxa"/>
            <w:shd w:val="clear" w:color="auto" w:fill="auto"/>
            <w:vAlign w:val="center"/>
          </w:tcPr>
          <w:p w14:paraId="02FEC294" w14:textId="77777777" w:rsidR="007A6B93" w:rsidRPr="00D369E2" w:rsidRDefault="007A6B93" w:rsidP="00D369E2">
            <w:pPr>
              <w:rPr>
                <w:rFonts w:cs="Times New Roman"/>
                <w:szCs w:val="24"/>
              </w:rPr>
            </w:pPr>
            <w:r w:rsidRPr="00D369E2">
              <w:rPr>
                <w:rFonts w:cs="Times New Roman"/>
                <w:szCs w:val="24"/>
              </w:rPr>
              <w:t>AE transportā</w:t>
            </w:r>
          </w:p>
        </w:tc>
        <w:tc>
          <w:tcPr>
            <w:tcW w:w="1984" w:type="dxa"/>
            <w:shd w:val="clear" w:color="auto" w:fill="auto"/>
            <w:vAlign w:val="center"/>
          </w:tcPr>
          <w:p w14:paraId="027B5B65" w14:textId="77777777" w:rsidR="007A6B93" w:rsidRPr="00D369E2" w:rsidRDefault="007A6B93" w:rsidP="00D369E2">
            <w:pPr>
              <w:jc w:val="center"/>
              <w:rPr>
                <w:rFonts w:cs="Times New Roman"/>
                <w:szCs w:val="24"/>
              </w:rPr>
            </w:pPr>
            <w:r w:rsidRPr="00D369E2">
              <w:rPr>
                <w:rFonts w:cs="Times New Roman"/>
                <w:szCs w:val="24"/>
              </w:rPr>
              <w:t>26,1</w:t>
            </w:r>
          </w:p>
        </w:tc>
        <w:tc>
          <w:tcPr>
            <w:tcW w:w="2052" w:type="dxa"/>
            <w:shd w:val="clear" w:color="auto" w:fill="auto"/>
            <w:vAlign w:val="center"/>
          </w:tcPr>
          <w:p w14:paraId="516DEAF0" w14:textId="77777777" w:rsidR="007A6B93" w:rsidRPr="00D369E2" w:rsidRDefault="007A6B93" w:rsidP="00D369E2">
            <w:pPr>
              <w:jc w:val="center"/>
              <w:rPr>
                <w:rFonts w:cs="Times New Roman"/>
                <w:szCs w:val="24"/>
              </w:rPr>
            </w:pPr>
            <w:r w:rsidRPr="00D369E2">
              <w:rPr>
                <w:rFonts w:cs="Times New Roman"/>
                <w:szCs w:val="24"/>
              </w:rPr>
              <w:t>29,4</w:t>
            </w:r>
          </w:p>
        </w:tc>
        <w:tc>
          <w:tcPr>
            <w:tcW w:w="2052" w:type="dxa"/>
            <w:shd w:val="clear" w:color="auto" w:fill="auto"/>
            <w:vAlign w:val="center"/>
          </w:tcPr>
          <w:p w14:paraId="00DAE156" w14:textId="77777777" w:rsidR="007A6B93" w:rsidRPr="00D369E2" w:rsidRDefault="007A6B93" w:rsidP="00D369E2">
            <w:pPr>
              <w:jc w:val="center"/>
              <w:rPr>
                <w:rFonts w:cs="Times New Roman"/>
                <w:szCs w:val="24"/>
              </w:rPr>
            </w:pPr>
            <w:r w:rsidRPr="00D369E2">
              <w:rPr>
                <w:rFonts w:cs="Times New Roman"/>
                <w:szCs w:val="24"/>
              </w:rPr>
              <w:t>39,7</w:t>
            </w:r>
          </w:p>
        </w:tc>
      </w:tr>
      <w:tr w:rsidR="007A6B93" w:rsidRPr="00D369E2" w14:paraId="6B1D27E6" w14:textId="77777777" w:rsidTr="00D369E2">
        <w:trPr>
          <w:trHeight w:val="340"/>
          <w:jc w:val="center"/>
        </w:trPr>
        <w:tc>
          <w:tcPr>
            <w:tcW w:w="3256" w:type="dxa"/>
            <w:shd w:val="clear" w:color="auto" w:fill="auto"/>
            <w:vAlign w:val="center"/>
          </w:tcPr>
          <w:p w14:paraId="644D78E4" w14:textId="77777777" w:rsidR="007A6B93" w:rsidRPr="00D369E2" w:rsidRDefault="007A6B93" w:rsidP="00D369E2">
            <w:pPr>
              <w:rPr>
                <w:rFonts w:cs="Times New Roman"/>
                <w:szCs w:val="24"/>
              </w:rPr>
            </w:pPr>
            <w:r w:rsidRPr="00D369E2">
              <w:rPr>
                <w:rFonts w:cs="Times New Roman"/>
                <w:szCs w:val="24"/>
              </w:rPr>
              <w:t>AE ēkās</w:t>
            </w:r>
          </w:p>
        </w:tc>
        <w:tc>
          <w:tcPr>
            <w:tcW w:w="1984" w:type="dxa"/>
            <w:shd w:val="clear" w:color="auto" w:fill="auto"/>
            <w:vAlign w:val="center"/>
          </w:tcPr>
          <w:p w14:paraId="0B23BC11" w14:textId="77777777" w:rsidR="007A6B93" w:rsidRPr="00D369E2" w:rsidRDefault="007A6B93" w:rsidP="00D369E2">
            <w:pPr>
              <w:jc w:val="center"/>
              <w:rPr>
                <w:rFonts w:cs="Times New Roman"/>
                <w:szCs w:val="24"/>
              </w:rPr>
            </w:pPr>
            <w:r w:rsidRPr="00D369E2">
              <w:rPr>
                <w:rFonts w:cs="Times New Roman"/>
                <w:szCs w:val="24"/>
              </w:rPr>
              <w:t>68</w:t>
            </w:r>
          </w:p>
        </w:tc>
        <w:tc>
          <w:tcPr>
            <w:tcW w:w="2052" w:type="dxa"/>
            <w:shd w:val="clear" w:color="auto" w:fill="auto"/>
            <w:vAlign w:val="center"/>
          </w:tcPr>
          <w:p w14:paraId="74F2879A" w14:textId="77777777" w:rsidR="007A6B93" w:rsidRPr="00D369E2" w:rsidRDefault="007A6B93" w:rsidP="00D369E2">
            <w:pPr>
              <w:jc w:val="center"/>
              <w:rPr>
                <w:rFonts w:cs="Times New Roman"/>
                <w:szCs w:val="24"/>
              </w:rPr>
            </w:pPr>
            <w:r w:rsidRPr="00D369E2">
              <w:rPr>
                <w:rFonts w:cs="Times New Roman"/>
                <w:szCs w:val="24"/>
              </w:rPr>
              <w:t>67,2</w:t>
            </w:r>
          </w:p>
        </w:tc>
        <w:tc>
          <w:tcPr>
            <w:tcW w:w="2052" w:type="dxa"/>
            <w:shd w:val="clear" w:color="auto" w:fill="auto"/>
            <w:vAlign w:val="center"/>
          </w:tcPr>
          <w:p w14:paraId="17491E54" w14:textId="77777777" w:rsidR="007A6B93" w:rsidRPr="00D369E2" w:rsidRDefault="007A6B93" w:rsidP="00D369E2">
            <w:pPr>
              <w:jc w:val="center"/>
              <w:rPr>
                <w:rFonts w:cs="Times New Roman"/>
                <w:szCs w:val="24"/>
              </w:rPr>
            </w:pPr>
            <w:r w:rsidRPr="00D369E2">
              <w:rPr>
                <w:rFonts w:cs="Times New Roman"/>
                <w:szCs w:val="24"/>
              </w:rPr>
              <w:t>58,3</w:t>
            </w:r>
          </w:p>
        </w:tc>
      </w:tr>
      <w:tr w:rsidR="007A6B93" w:rsidRPr="00D369E2" w14:paraId="0EB851AB" w14:textId="77777777" w:rsidTr="00D369E2">
        <w:trPr>
          <w:trHeight w:val="340"/>
          <w:jc w:val="center"/>
        </w:trPr>
        <w:tc>
          <w:tcPr>
            <w:tcW w:w="3256" w:type="dxa"/>
            <w:shd w:val="clear" w:color="auto" w:fill="auto"/>
            <w:vAlign w:val="center"/>
          </w:tcPr>
          <w:p w14:paraId="589082E9" w14:textId="77777777" w:rsidR="007A6B93" w:rsidRPr="00D369E2" w:rsidRDefault="007A6B93" w:rsidP="00D369E2">
            <w:pPr>
              <w:rPr>
                <w:rFonts w:cs="Times New Roman"/>
                <w:szCs w:val="24"/>
              </w:rPr>
            </w:pPr>
            <w:r w:rsidRPr="00D369E2">
              <w:rPr>
                <w:rFonts w:cs="Times New Roman"/>
                <w:szCs w:val="24"/>
              </w:rPr>
              <w:t>AE rūpniecībā &amp; IKT nozarē</w:t>
            </w:r>
          </w:p>
        </w:tc>
        <w:tc>
          <w:tcPr>
            <w:tcW w:w="1984" w:type="dxa"/>
            <w:shd w:val="clear" w:color="auto" w:fill="auto"/>
            <w:vAlign w:val="center"/>
          </w:tcPr>
          <w:p w14:paraId="3AFB1543" w14:textId="77777777" w:rsidR="007A6B93" w:rsidRPr="00D369E2" w:rsidRDefault="007A6B93" w:rsidP="00D369E2">
            <w:pPr>
              <w:jc w:val="center"/>
              <w:rPr>
                <w:rFonts w:cs="Times New Roman"/>
                <w:szCs w:val="24"/>
              </w:rPr>
            </w:pPr>
            <w:r w:rsidRPr="00D369E2">
              <w:rPr>
                <w:rFonts w:cs="Times New Roman"/>
                <w:szCs w:val="24"/>
              </w:rPr>
              <w:t>73,6</w:t>
            </w:r>
          </w:p>
        </w:tc>
        <w:tc>
          <w:tcPr>
            <w:tcW w:w="2052" w:type="dxa"/>
            <w:shd w:val="clear" w:color="auto" w:fill="auto"/>
            <w:vAlign w:val="center"/>
          </w:tcPr>
          <w:p w14:paraId="4D6B8567" w14:textId="77777777" w:rsidR="007A6B93" w:rsidRPr="00D369E2" w:rsidRDefault="007A6B93" w:rsidP="00D369E2">
            <w:pPr>
              <w:jc w:val="center"/>
              <w:rPr>
                <w:rFonts w:cs="Times New Roman"/>
                <w:szCs w:val="24"/>
              </w:rPr>
            </w:pPr>
            <w:r w:rsidRPr="00D369E2">
              <w:rPr>
                <w:rFonts w:cs="Times New Roman"/>
                <w:szCs w:val="24"/>
              </w:rPr>
              <w:t>73,5</w:t>
            </w:r>
          </w:p>
        </w:tc>
        <w:tc>
          <w:tcPr>
            <w:tcW w:w="2052" w:type="dxa"/>
            <w:shd w:val="clear" w:color="auto" w:fill="auto"/>
            <w:vAlign w:val="center"/>
          </w:tcPr>
          <w:p w14:paraId="30E9A6FF" w14:textId="77777777" w:rsidR="007A6B93" w:rsidRPr="00D369E2" w:rsidRDefault="007A6B93" w:rsidP="00D369E2">
            <w:pPr>
              <w:jc w:val="center"/>
              <w:rPr>
                <w:rFonts w:cs="Times New Roman"/>
                <w:szCs w:val="24"/>
              </w:rPr>
            </w:pPr>
            <w:r w:rsidRPr="00D369E2">
              <w:rPr>
                <w:rFonts w:cs="Times New Roman"/>
                <w:szCs w:val="24"/>
              </w:rPr>
              <w:t>70</w:t>
            </w:r>
          </w:p>
        </w:tc>
      </w:tr>
    </w:tbl>
    <w:p w14:paraId="5021B61B" w14:textId="77777777" w:rsidR="007A6B93" w:rsidRPr="007A6B93" w:rsidRDefault="007A6B93" w:rsidP="004826D1">
      <w:pPr>
        <w:spacing w:before="120" w:after="120"/>
        <w:jc w:val="both"/>
        <w:rPr>
          <w:rFonts w:cs="Times New Roman"/>
          <w:szCs w:val="24"/>
        </w:rPr>
      </w:pPr>
    </w:p>
    <w:p w14:paraId="3854115C" w14:textId="77777777" w:rsidR="002D5C06" w:rsidRPr="007A6B93" w:rsidRDefault="002D5C06" w:rsidP="002D5C06">
      <w:pPr>
        <w:rPr>
          <w:rFonts w:cs="Times New Roman"/>
          <w:szCs w:val="24"/>
        </w:rPr>
      </w:pPr>
    </w:p>
    <w:p w14:paraId="0C2AD150" w14:textId="77777777" w:rsidR="004B6EC8" w:rsidRPr="007A6B93" w:rsidRDefault="00C65D73" w:rsidP="004B6EC8">
      <w:pPr>
        <w:pStyle w:val="Heading31"/>
        <w:rPr>
          <w:rFonts w:ascii="Times New Roman" w:hAnsi="Times New Roman"/>
          <w:sz w:val="24"/>
          <w:szCs w:val="24"/>
          <w:lang w:val="lv-LV"/>
        </w:rPr>
      </w:pPr>
      <w:bookmarkStart w:id="196" w:name="_Toc169602269"/>
      <w:bookmarkStart w:id="197" w:name="_Toc527529589"/>
      <w:bookmarkEnd w:id="174"/>
      <w:r w:rsidRPr="007A6B93">
        <w:rPr>
          <w:rFonts w:ascii="Times New Roman" w:hAnsi="Times New Roman"/>
          <w:sz w:val="24"/>
          <w:szCs w:val="24"/>
          <w:lang w:val="lv-LV"/>
        </w:rPr>
        <w:t>3.2.5</w:t>
      </w:r>
      <w:r w:rsidR="004B6EC8" w:rsidRPr="007A6B93">
        <w:rPr>
          <w:rFonts w:ascii="Times New Roman" w:hAnsi="Times New Roman"/>
          <w:sz w:val="24"/>
          <w:szCs w:val="24"/>
          <w:lang w:val="lv-LV"/>
        </w:rPr>
        <w:t>.</w:t>
      </w:r>
      <w:r w:rsidR="004B6EC8" w:rsidRPr="007A6B93">
        <w:rPr>
          <w:rFonts w:ascii="Times New Roman" w:hAnsi="Times New Roman"/>
          <w:sz w:val="24"/>
          <w:szCs w:val="24"/>
          <w:lang w:val="lv-LV"/>
        </w:rPr>
        <w:tab/>
      </w:r>
      <w:r w:rsidR="00301343" w:rsidRPr="007A6B93">
        <w:rPr>
          <w:rFonts w:ascii="Times New Roman" w:hAnsi="Times New Roman"/>
          <w:sz w:val="24"/>
          <w:szCs w:val="24"/>
          <w:lang w:val="lv-LV"/>
        </w:rPr>
        <w:t>Energoefektivitātes mērķa sasniegšanas prognoze</w:t>
      </w:r>
      <w:bookmarkEnd w:id="196"/>
    </w:p>
    <w:bookmarkEnd w:id="197"/>
    <w:p w14:paraId="61ACAA33" w14:textId="77777777" w:rsidR="007A6B93" w:rsidRDefault="009F67D7" w:rsidP="007A6B93">
      <w:pPr>
        <w:pStyle w:val="paragraph"/>
        <w:spacing w:before="120" w:beforeAutospacing="0" w:after="120" w:afterAutospacing="0"/>
        <w:jc w:val="both"/>
        <w:textAlignment w:val="baseline"/>
      </w:pPr>
      <w:r>
        <w:t>Plāna</w:t>
      </w:r>
      <w:r w:rsidR="007A6B93" w:rsidRPr="007A6B93">
        <w:t xml:space="preserve"> pasākumu scenārijā tiek prognozēts, ka kumulatīvais enerģijas galapatēriņa ietaupījumu mērķis tiks izpildīts par apmēram 70%, 2030. gadā gandrīz sasniedzot 21 TWh</w:t>
      </w:r>
      <w:r w:rsidR="00602984">
        <w:t xml:space="preserve"> (skat. 3.</w:t>
      </w:r>
      <w:r w:rsidR="00367DDE">
        <w:t>34</w:t>
      </w:r>
      <w:r w:rsidR="00602984">
        <w:t>. att.)</w:t>
      </w:r>
      <w:r w:rsidR="007A6B93" w:rsidRPr="007A6B93">
        <w:t>. Lielāko devumu mērķa sasniegšanā sniegs efektīvāku tehnoloģiju, tajā skaitā kurināmā sadedzināšanas tehnoloģiju, uzstādīšana rūpniecības sektorā, pāreja uz EV izmantošanu ceļa transportā, dzīvojamo un publisko ēku energoefektivitātes pasākumi.</w:t>
      </w:r>
    </w:p>
    <w:p w14:paraId="380A52F3" w14:textId="77777777" w:rsidR="00602984" w:rsidRPr="007A6B93" w:rsidRDefault="00602984" w:rsidP="007A6B93">
      <w:pPr>
        <w:pStyle w:val="paragraph"/>
        <w:spacing w:before="120" w:beforeAutospacing="0" w:after="120" w:afterAutospacing="0"/>
        <w:jc w:val="both"/>
        <w:textAlignment w:val="baseline"/>
      </w:pPr>
    </w:p>
    <w:p w14:paraId="7F1D07BE" w14:textId="68E9EEF1" w:rsidR="007A6B93" w:rsidRPr="007A6B93" w:rsidRDefault="007A6B93" w:rsidP="007A6B93">
      <w:pPr>
        <w:pStyle w:val="paragraph"/>
        <w:spacing w:before="120" w:beforeAutospacing="0" w:after="0" w:afterAutospacing="0"/>
        <w:jc w:val="center"/>
        <w:textAlignment w:val="baseline"/>
      </w:pPr>
      <w:r w:rsidRPr="007A6B93">
        <w:t xml:space="preserve"> </w:t>
      </w:r>
      <w:r w:rsidR="000654E1">
        <w:rPr>
          <w:noProof/>
        </w:rPr>
        <w:drawing>
          <wp:inline distT="0" distB="0" distL="0" distR="0" wp14:anchorId="21B87004" wp14:editId="4FA6B001">
            <wp:extent cx="3486150" cy="2505075"/>
            <wp:effectExtent l="0" t="0" r="0" b="9525"/>
            <wp:docPr id="35" name="Picture 5041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154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86150" cy="2505075"/>
                    </a:xfrm>
                    <a:prstGeom prst="rect">
                      <a:avLst/>
                    </a:prstGeom>
                    <a:noFill/>
                    <a:ln>
                      <a:noFill/>
                    </a:ln>
                  </pic:spPr>
                </pic:pic>
              </a:graphicData>
            </a:graphic>
          </wp:inline>
        </w:drawing>
      </w:r>
    </w:p>
    <w:p w14:paraId="17BF1191" w14:textId="77777777" w:rsidR="007A6B93" w:rsidRPr="007A6B93" w:rsidRDefault="00602984" w:rsidP="007A6B93">
      <w:pPr>
        <w:jc w:val="center"/>
        <w:rPr>
          <w:rFonts w:cs="Times New Roman"/>
          <w:b/>
          <w:szCs w:val="24"/>
        </w:rPr>
      </w:pPr>
      <w:bookmarkStart w:id="198" w:name="_Toc23782730"/>
      <w:r>
        <w:rPr>
          <w:rFonts w:cs="Times New Roman"/>
          <w:b/>
          <w:bCs/>
          <w:szCs w:val="24"/>
        </w:rPr>
        <w:t>3.</w:t>
      </w:r>
      <w:r w:rsidR="00367DDE">
        <w:rPr>
          <w:rFonts w:cs="Times New Roman"/>
          <w:b/>
          <w:bCs/>
          <w:szCs w:val="24"/>
        </w:rPr>
        <w:t>34</w:t>
      </w:r>
      <w:r w:rsidR="007A6B93" w:rsidRPr="007A6B93">
        <w:rPr>
          <w:rFonts w:cs="Times New Roman"/>
          <w:b/>
          <w:bCs/>
          <w:szCs w:val="24"/>
        </w:rPr>
        <w:t>.</w:t>
      </w:r>
      <w:r>
        <w:rPr>
          <w:rFonts w:cs="Times New Roman"/>
          <w:b/>
          <w:bCs/>
          <w:szCs w:val="24"/>
        </w:rPr>
        <w:t> </w:t>
      </w:r>
      <w:r w:rsidR="007A6B93" w:rsidRPr="007A6B93">
        <w:rPr>
          <w:rFonts w:cs="Times New Roman"/>
          <w:b/>
          <w:bCs/>
          <w:szCs w:val="24"/>
        </w:rPr>
        <w:t>attēls. Kumulatīvo energoietaupījumu apjoms līdz 2030.gadā (GWh)</w:t>
      </w:r>
      <w:bookmarkEnd w:id="198"/>
    </w:p>
    <w:p w14:paraId="18119FCD" w14:textId="77777777" w:rsidR="009811D6" w:rsidRPr="007A6B93" w:rsidRDefault="009811D6" w:rsidP="00715B7E">
      <w:pPr>
        <w:spacing w:before="120" w:after="120"/>
        <w:jc w:val="both"/>
        <w:rPr>
          <w:rFonts w:cs="Times New Roman"/>
          <w:sz w:val="22"/>
          <w:szCs w:val="22"/>
        </w:rPr>
      </w:pPr>
      <w:r w:rsidRPr="007A6B93">
        <w:rPr>
          <w:rFonts w:cs="Times New Roman"/>
          <w:sz w:val="22"/>
          <w:szCs w:val="22"/>
        </w:rPr>
        <w:t xml:space="preserve"> </w:t>
      </w:r>
    </w:p>
    <w:p w14:paraId="772C30D2" w14:textId="77777777" w:rsidR="00D07DA2" w:rsidRPr="004826D1" w:rsidRDefault="00D07DA2" w:rsidP="00D07DA2">
      <w:pPr>
        <w:pStyle w:val="Heading31"/>
        <w:rPr>
          <w:rFonts w:ascii="Times New Roman" w:hAnsi="Times New Roman"/>
          <w:lang w:val="lv-LV"/>
        </w:rPr>
      </w:pPr>
      <w:bookmarkStart w:id="199" w:name="_Toc169602270"/>
      <w:r w:rsidRPr="004826D1">
        <w:rPr>
          <w:rFonts w:ascii="Times New Roman" w:hAnsi="Times New Roman"/>
          <w:lang w:val="lv-LV"/>
        </w:rPr>
        <w:t>3.2.</w:t>
      </w:r>
      <w:r w:rsidR="00C65D73" w:rsidRPr="004826D1">
        <w:rPr>
          <w:rFonts w:ascii="Times New Roman" w:hAnsi="Times New Roman"/>
          <w:lang w:val="lv-LV"/>
        </w:rPr>
        <w:t>6</w:t>
      </w:r>
      <w:r w:rsidRPr="004826D1">
        <w:rPr>
          <w:rFonts w:ascii="Times New Roman" w:hAnsi="Times New Roman"/>
          <w:lang w:val="lv-LV"/>
        </w:rPr>
        <w:t>.</w:t>
      </w:r>
      <w:r w:rsidRPr="004826D1">
        <w:rPr>
          <w:rFonts w:ascii="Times New Roman" w:hAnsi="Times New Roman"/>
          <w:lang w:val="lv-LV"/>
        </w:rPr>
        <w:tab/>
        <w:t>No biomasas saražotās enerģijas izmantošanas veicināšana</w:t>
      </w:r>
      <w:bookmarkEnd w:id="199"/>
    </w:p>
    <w:p w14:paraId="7559CEB7" w14:textId="77777777" w:rsidR="009F7DAF" w:rsidRPr="004826D1" w:rsidRDefault="009F7DAF" w:rsidP="009F7DAF">
      <w:pPr>
        <w:spacing w:before="120" w:after="120"/>
        <w:jc w:val="both"/>
        <w:rPr>
          <w:rFonts w:cs="Times New Roman"/>
          <w:szCs w:val="24"/>
          <w:lang w:eastAsia="lv-LV"/>
        </w:rPr>
      </w:pPr>
      <w:r w:rsidRPr="004826D1">
        <w:rPr>
          <w:rFonts w:cs="Times New Roman"/>
        </w:rPr>
        <w:t xml:space="preserve">Latvijā 2017.gadā kopējā primārās enerģijas patēriņā (neieskaitot elektroenerģiju) dominē biomasa – cietā, gāzveida un šķidrā, kur </w:t>
      </w:r>
      <w:r w:rsidRPr="004826D1">
        <w:rPr>
          <w:rFonts w:cs="Times New Roman"/>
          <w:szCs w:val="24"/>
          <w:lang w:eastAsia="lv-LV"/>
        </w:rPr>
        <w:t>37,9% biomasas kurināmā īpatsvars ir kopējā primārās enerģijas patēriņā un 34,3% biomasas kurināmā patēriņš ir kurināmā galapatēriņā.</w:t>
      </w:r>
    </w:p>
    <w:p w14:paraId="115C2803" w14:textId="77777777" w:rsidR="009F7DAF" w:rsidRPr="004826D1" w:rsidRDefault="009F7DAF" w:rsidP="009F7DAF">
      <w:pPr>
        <w:spacing w:before="120" w:after="120"/>
        <w:jc w:val="both"/>
        <w:rPr>
          <w:rFonts w:cs="Times New Roman"/>
          <w:szCs w:val="24"/>
          <w:lang w:eastAsia="lv-LV"/>
        </w:rPr>
      </w:pPr>
      <w:r w:rsidRPr="004826D1">
        <w:rPr>
          <w:rFonts w:cs="Times New Roman"/>
          <w:szCs w:val="24"/>
          <w:lang w:eastAsia="lv-LV"/>
        </w:rPr>
        <w:t>Bāzes scenārijā uz 2030.gadu cietās biomasas apjoma pieaugums enerģijas galapatēriņā tiek prognozēts tikai 13,3% apjomā (salīdzinot ar 2015.gadu), tādējādi nav paredzams būtisks cietās biomasas ieguves apjoma pieaugums, lai nodrošinātu iekšzemes cietās biomasas patēriņu enerģētikas sektorā.</w:t>
      </w:r>
    </w:p>
    <w:p w14:paraId="1777B35D" w14:textId="77777777" w:rsidR="00C65D73" w:rsidRPr="004826D1" w:rsidRDefault="00C65D73" w:rsidP="008C4470">
      <w:pPr>
        <w:pStyle w:val="Heading31"/>
        <w:rPr>
          <w:rFonts w:ascii="Times New Roman" w:hAnsi="Times New Roman"/>
          <w:lang w:val="lv-LV"/>
        </w:rPr>
      </w:pPr>
    </w:p>
    <w:p w14:paraId="6628BA12" w14:textId="77777777" w:rsidR="008C4470" w:rsidRPr="004826D1" w:rsidRDefault="008C4470" w:rsidP="008C4470">
      <w:pPr>
        <w:pStyle w:val="Heading31"/>
        <w:rPr>
          <w:rFonts w:ascii="Times New Roman" w:hAnsi="Times New Roman"/>
          <w:lang w:val="lv-LV"/>
        </w:rPr>
      </w:pPr>
      <w:bookmarkStart w:id="200" w:name="_Toc169602271"/>
      <w:r w:rsidRPr="004826D1">
        <w:rPr>
          <w:rFonts w:ascii="Times New Roman" w:hAnsi="Times New Roman"/>
          <w:lang w:val="lv-LV"/>
        </w:rPr>
        <w:t>3.2.</w:t>
      </w:r>
      <w:r w:rsidR="00C65D73" w:rsidRPr="004826D1">
        <w:rPr>
          <w:rFonts w:ascii="Times New Roman" w:hAnsi="Times New Roman"/>
          <w:lang w:val="lv-LV"/>
        </w:rPr>
        <w:t>7</w:t>
      </w:r>
      <w:r w:rsidRPr="004826D1">
        <w:rPr>
          <w:rFonts w:ascii="Times New Roman" w:hAnsi="Times New Roman"/>
          <w:lang w:val="lv-LV"/>
        </w:rPr>
        <w:t>.</w:t>
      </w:r>
      <w:r w:rsidRPr="004826D1">
        <w:rPr>
          <w:rFonts w:ascii="Times New Roman" w:hAnsi="Times New Roman"/>
          <w:lang w:val="lv-LV"/>
        </w:rPr>
        <w:tab/>
        <w:t>Vēja enerģijas ražošanas un izmantošanas veicināšana</w:t>
      </w:r>
      <w:bookmarkEnd w:id="200"/>
    </w:p>
    <w:p w14:paraId="437722B9" w14:textId="77777777" w:rsidR="001734C3" w:rsidRPr="004826D1" w:rsidRDefault="001734C3" w:rsidP="001734C3">
      <w:pPr>
        <w:spacing w:before="120" w:after="120"/>
        <w:jc w:val="both"/>
        <w:rPr>
          <w:rFonts w:cs="Times New Roman"/>
          <w:color w:val="000000"/>
          <w:szCs w:val="24"/>
        </w:rPr>
      </w:pPr>
      <w:r w:rsidRPr="004826D1">
        <w:rPr>
          <w:rFonts w:cs="Times New Roman"/>
        </w:rPr>
        <w:t>Vēja, saules un hidroenerģijas devuma pieaugum</w:t>
      </w:r>
      <w:r w:rsidR="00D63FA5" w:rsidRPr="004826D1">
        <w:rPr>
          <w:rFonts w:cs="Times New Roman"/>
        </w:rPr>
        <w:t>ā</w:t>
      </w:r>
      <w:r w:rsidRPr="004826D1">
        <w:rPr>
          <w:rFonts w:cs="Times New Roman"/>
        </w:rPr>
        <w:t xml:space="preserve"> AER kopējā primāro energoresursu patēriņ</w:t>
      </w:r>
      <w:r w:rsidR="00D63FA5" w:rsidRPr="004826D1">
        <w:rPr>
          <w:rFonts w:cs="Times New Roman"/>
        </w:rPr>
        <w:t xml:space="preserve">ā </w:t>
      </w:r>
      <w:r w:rsidRPr="004826D1">
        <w:rPr>
          <w:rFonts w:cs="Times New Roman"/>
        </w:rPr>
        <w:t>saules un hidroenerģijas patēriņa gaidāmais pieaugums</w:t>
      </w:r>
      <w:r w:rsidR="00D63FA5" w:rsidRPr="004826D1">
        <w:rPr>
          <w:rFonts w:cs="Times New Roman"/>
        </w:rPr>
        <w:t xml:space="preserve"> ir niecīgs</w:t>
      </w:r>
      <w:r w:rsidRPr="004826D1">
        <w:rPr>
          <w:rFonts w:cs="Times New Roman"/>
        </w:rPr>
        <w:t>, lielāko daļu no š</w:t>
      </w:r>
      <w:r w:rsidR="00D63FA5" w:rsidRPr="004826D1">
        <w:rPr>
          <w:rFonts w:cs="Times New Roman"/>
        </w:rPr>
        <w:t xml:space="preserve">ā pieauguma </w:t>
      </w:r>
      <w:r w:rsidRPr="004826D1">
        <w:rPr>
          <w:rFonts w:cs="Times New Roman"/>
        </w:rPr>
        <w:t xml:space="preserve">veido vēja enerģija. Pārskata periodā </w:t>
      </w:r>
      <w:r w:rsidR="009A3CA5" w:rsidRPr="004826D1">
        <w:rPr>
          <w:rFonts w:cs="Times New Roman"/>
        </w:rPr>
        <w:t xml:space="preserve">līdz 2030. gadam </w:t>
      </w:r>
      <w:r w:rsidRPr="004826D1">
        <w:rPr>
          <w:rFonts w:cs="Times New Roman"/>
        </w:rPr>
        <w:t xml:space="preserve">paredzēts panākt iekšzemes un selgas vēja elektrostaciju kopējās jaudas pieaugumu līdz </w:t>
      </w:r>
      <w:r w:rsidRPr="004826D1">
        <w:rPr>
          <w:rFonts w:cs="Times New Roman"/>
          <w:szCs w:val="24"/>
          <w:lang w:eastAsia="lv-LV"/>
        </w:rPr>
        <w:t>800 MW</w:t>
      </w:r>
      <w:r w:rsidR="00E6562D" w:rsidRPr="004826D1">
        <w:rPr>
          <w:rFonts w:cs="Times New Roman"/>
          <w:szCs w:val="24"/>
          <w:vertAlign w:val="superscript"/>
        </w:rPr>
        <w:footnoteReference w:id="46"/>
      </w:r>
      <w:r w:rsidR="00F4165B" w:rsidRPr="004826D1">
        <w:rPr>
          <w:rFonts w:cs="Times New Roman"/>
          <w:color w:val="000000"/>
          <w:szCs w:val="24"/>
        </w:rPr>
        <w:t xml:space="preserve">, izmantojot turbīnas ar jaudu </w:t>
      </w:r>
      <w:r w:rsidR="007061EF" w:rsidRPr="004826D1">
        <w:rPr>
          <w:rFonts w:cs="Times New Roman"/>
          <w:color w:val="000000"/>
          <w:szCs w:val="24"/>
        </w:rPr>
        <w:t>2-10</w:t>
      </w:r>
      <w:r w:rsidR="00F4165B" w:rsidRPr="004826D1">
        <w:rPr>
          <w:rFonts w:cs="Times New Roman"/>
          <w:color w:val="000000"/>
          <w:szCs w:val="24"/>
        </w:rPr>
        <w:t> MW, kopumā 100</w:t>
      </w:r>
      <w:r w:rsidR="00423147" w:rsidRPr="004826D1">
        <w:rPr>
          <w:rFonts w:cs="Times New Roman"/>
          <w:color w:val="000000"/>
          <w:szCs w:val="24"/>
        </w:rPr>
        <w:t>-170</w:t>
      </w:r>
      <w:r w:rsidR="00F4165B" w:rsidRPr="004826D1">
        <w:rPr>
          <w:rFonts w:cs="Times New Roman"/>
          <w:color w:val="000000"/>
          <w:szCs w:val="24"/>
        </w:rPr>
        <w:t> VES.</w:t>
      </w:r>
    </w:p>
    <w:p w14:paraId="4C7BF969" w14:textId="77777777" w:rsidR="00702EF7" w:rsidRPr="004826D1" w:rsidRDefault="00702EF7" w:rsidP="001734C3">
      <w:pPr>
        <w:spacing w:before="120" w:after="120"/>
        <w:jc w:val="both"/>
        <w:rPr>
          <w:rFonts w:cs="Times New Roman"/>
          <w:color w:val="000000"/>
          <w:szCs w:val="24"/>
        </w:rPr>
      </w:pPr>
    </w:p>
    <w:p w14:paraId="4B1C01B1" w14:textId="77777777" w:rsidR="00702EF7" w:rsidRPr="004826D1" w:rsidRDefault="00702EF7" w:rsidP="00702EF7">
      <w:pPr>
        <w:pStyle w:val="Heading31"/>
        <w:rPr>
          <w:rFonts w:ascii="Times New Roman" w:hAnsi="Times New Roman"/>
          <w:lang w:val="lv-LV"/>
        </w:rPr>
      </w:pPr>
      <w:bookmarkStart w:id="201" w:name="_Toc169602272"/>
      <w:r w:rsidRPr="004826D1">
        <w:rPr>
          <w:rFonts w:ascii="Times New Roman" w:hAnsi="Times New Roman"/>
          <w:lang w:val="lv-LV"/>
        </w:rPr>
        <w:t>3.2.</w:t>
      </w:r>
      <w:r w:rsidR="00C65D73" w:rsidRPr="004826D1">
        <w:rPr>
          <w:rFonts w:ascii="Times New Roman" w:hAnsi="Times New Roman"/>
          <w:lang w:val="lv-LV"/>
        </w:rPr>
        <w:t>8</w:t>
      </w:r>
      <w:r w:rsidRPr="004826D1">
        <w:rPr>
          <w:rFonts w:ascii="Times New Roman" w:hAnsi="Times New Roman"/>
          <w:lang w:val="lv-LV"/>
        </w:rPr>
        <w:t>.</w:t>
      </w:r>
      <w:r w:rsidRPr="004826D1">
        <w:rPr>
          <w:rFonts w:ascii="Times New Roman" w:hAnsi="Times New Roman"/>
          <w:lang w:val="lv-LV"/>
        </w:rPr>
        <w:tab/>
        <w:t>Lauksaimniecība</w:t>
      </w:r>
      <w:r w:rsidR="00E13039" w:rsidRPr="004826D1">
        <w:rPr>
          <w:rFonts w:ascii="Times New Roman" w:hAnsi="Times New Roman"/>
          <w:lang w:val="lv-LV"/>
        </w:rPr>
        <w:t xml:space="preserve"> (bez ZIZIMM</w:t>
      </w:r>
      <w:r w:rsidR="00E571FA" w:rsidRPr="004826D1">
        <w:rPr>
          <w:rFonts w:ascii="Times New Roman" w:hAnsi="Times New Roman"/>
          <w:lang w:val="lv-LV"/>
        </w:rPr>
        <w:t xml:space="preserve"> daļas</w:t>
      </w:r>
      <w:r w:rsidR="00E13039" w:rsidRPr="004826D1">
        <w:rPr>
          <w:rFonts w:ascii="Times New Roman" w:hAnsi="Times New Roman"/>
          <w:lang w:val="lv-LV"/>
        </w:rPr>
        <w:t>)</w:t>
      </w:r>
      <w:bookmarkEnd w:id="201"/>
    </w:p>
    <w:p w14:paraId="0C79C742" w14:textId="77777777" w:rsidR="003E6486" w:rsidRPr="004826D1" w:rsidRDefault="003E6486" w:rsidP="003E6486">
      <w:pPr>
        <w:tabs>
          <w:tab w:val="left" w:pos="6833"/>
        </w:tabs>
        <w:spacing w:before="120" w:after="120"/>
        <w:jc w:val="both"/>
        <w:rPr>
          <w:rFonts w:cs="Times New Roman"/>
          <w:szCs w:val="24"/>
        </w:rPr>
      </w:pPr>
      <w:r w:rsidRPr="004826D1">
        <w:rPr>
          <w:rFonts w:cs="Times New Roman"/>
          <w:szCs w:val="24"/>
        </w:rPr>
        <w:t>Otrais lielākais emisiju sektors Latvijas SEG inventarizācijā ir lauksaimniecība, kas radīja 24,6 % (2782,32 kt CO</w:t>
      </w:r>
      <w:r w:rsidRPr="004826D1">
        <w:rPr>
          <w:rFonts w:cs="Times New Roman"/>
          <w:szCs w:val="24"/>
          <w:vertAlign w:val="subscript"/>
        </w:rPr>
        <w:t>2</w:t>
      </w:r>
      <w:r w:rsidRPr="004826D1">
        <w:rPr>
          <w:rFonts w:cs="Times New Roman"/>
          <w:szCs w:val="24"/>
        </w:rPr>
        <w:t xml:space="preserve"> </w:t>
      </w:r>
      <w:r w:rsidR="00DB6BD8" w:rsidRPr="004826D1">
        <w:rPr>
          <w:rFonts w:cs="Times New Roman"/>
          <w:szCs w:val="24"/>
        </w:rPr>
        <w:t>eq</w:t>
      </w:r>
      <w:r w:rsidRPr="004826D1">
        <w:rPr>
          <w:rFonts w:cs="Times New Roman"/>
          <w:szCs w:val="24"/>
        </w:rPr>
        <w:t>) no kopējām Latvijas SEG emisijām 2017. gadā</w:t>
      </w:r>
      <w:r w:rsidR="00B41F99" w:rsidRPr="004826D1">
        <w:rPr>
          <w:rFonts w:cs="Times New Roman"/>
          <w:szCs w:val="24"/>
        </w:rPr>
        <w:t xml:space="preserve"> (</w:t>
      </w:r>
      <w:r w:rsidRPr="004826D1">
        <w:rPr>
          <w:rFonts w:cs="Times New Roman"/>
          <w:szCs w:val="24"/>
        </w:rPr>
        <w:t>neskaitot zemes izmantošanu, zemes izmantošanas maiņu un mežsaimniecību (ZIZIMM)</w:t>
      </w:r>
      <w:r w:rsidR="00B41F99" w:rsidRPr="004826D1">
        <w:rPr>
          <w:rFonts w:cs="Times New Roman"/>
          <w:szCs w:val="24"/>
        </w:rPr>
        <w:t>: skat. nākamo nodaļu)</w:t>
      </w:r>
      <w:r w:rsidR="0040511C" w:rsidRPr="004826D1">
        <w:rPr>
          <w:rFonts w:cs="Times New Roman"/>
          <w:szCs w:val="24"/>
        </w:rPr>
        <w:t>, kurā paredzēti</w:t>
      </w:r>
      <w:r w:rsidRPr="004826D1">
        <w:rPr>
          <w:rFonts w:cs="Times New Roman"/>
          <w:szCs w:val="24"/>
        </w:rPr>
        <w:t xml:space="preserve"> </w:t>
      </w:r>
      <w:r w:rsidR="0040511C" w:rsidRPr="004826D1">
        <w:rPr>
          <w:rFonts w:cs="Times New Roman"/>
          <w:szCs w:val="24"/>
        </w:rPr>
        <w:t>šād</w:t>
      </w:r>
      <w:r w:rsidR="00D90573" w:rsidRPr="004826D1">
        <w:rPr>
          <w:rFonts w:cs="Times New Roman"/>
          <w:szCs w:val="24"/>
        </w:rPr>
        <w:t>as</w:t>
      </w:r>
      <w:r w:rsidR="0040511C" w:rsidRPr="004826D1">
        <w:rPr>
          <w:rFonts w:cs="Times New Roman"/>
          <w:szCs w:val="24"/>
        </w:rPr>
        <w:t xml:space="preserve"> </w:t>
      </w:r>
      <w:r w:rsidR="00D90573" w:rsidRPr="004826D1">
        <w:rPr>
          <w:rFonts w:cs="Times New Roman"/>
          <w:szCs w:val="24"/>
        </w:rPr>
        <w:t>pasākumu grupas</w:t>
      </w:r>
      <w:r w:rsidRPr="004826D1">
        <w:rPr>
          <w:rFonts w:cs="Times New Roman"/>
          <w:szCs w:val="24"/>
        </w:rPr>
        <w:t>:</w:t>
      </w:r>
    </w:p>
    <w:p w14:paraId="36DDEE4B"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Efektīva mēslojuma lietošana;</w:t>
      </w:r>
    </w:p>
    <w:p w14:paraId="7B0B7960"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 xml:space="preserve">Augsnes auglības uzlabošana; </w:t>
      </w:r>
    </w:p>
    <w:p w14:paraId="023C58AE"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Dzīvnieku ēdināšanas uzlabošana;</w:t>
      </w:r>
    </w:p>
    <w:p w14:paraId="6022C7FA"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Kūtsmēslu apsaimniekošanas sistēmas uzlabošana</w:t>
      </w:r>
      <w:r w:rsidR="008F6C1D" w:rsidRPr="004826D1">
        <w:rPr>
          <w:rFonts w:cs="Times New Roman"/>
          <w:sz w:val="24"/>
          <w:szCs w:val="24"/>
        </w:rPr>
        <w:t>.</w:t>
      </w:r>
    </w:p>
    <w:p w14:paraId="315EA794" w14:textId="77777777" w:rsidR="00330DE8" w:rsidRPr="004826D1" w:rsidRDefault="00702EF7" w:rsidP="00330DE8">
      <w:pPr>
        <w:spacing w:before="120" w:after="120"/>
        <w:jc w:val="both"/>
        <w:rPr>
          <w:rFonts w:cs="Times New Roman"/>
          <w:szCs w:val="24"/>
        </w:rPr>
      </w:pPr>
      <w:r w:rsidRPr="004826D1">
        <w:rPr>
          <w:rFonts w:cs="Times New Roman"/>
          <w:szCs w:val="24"/>
        </w:rPr>
        <w:t>Galvenais SEG emisiju samazinājums saistīts ar slāpekļa emisiju samazinājumu. Piemēram, veicot tiešā organiskā mēslojuma iestrādi augsnē tiek samazinātas gan tiešā, gan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w:t>
      </w:r>
      <w:r w:rsidRPr="004826D1">
        <w:rPr>
          <w:rFonts w:cs="Times New Roman"/>
          <w:szCs w:val="24"/>
        </w:rPr>
        <w:t>precīza mēslojuma lietošana un plānošana samazina tiešā un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samazinot</w:t>
      </w:r>
      <w:r w:rsidRPr="004826D1">
        <w:rPr>
          <w:rFonts w:cs="Times New Roman"/>
          <w:szCs w:val="24"/>
        </w:rPr>
        <w:t xml:space="preserve"> N patēriņ</w:t>
      </w:r>
      <w:r w:rsidR="00330DE8" w:rsidRPr="004826D1">
        <w:rPr>
          <w:rFonts w:cs="Times New Roman"/>
          <w:szCs w:val="24"/>
        </w:rPr>
        <w:t>u</w:t>
      </w:r>
      <w:r w:rsidRPr="004826D1">
        <w:rPr>
          <w:rFonts w:cs="Times New Roman"/>
          <w:szCs w:val="24"/>
        </w:rPr>
        <w:t>.</w:t>
      </w:r>
    </w:p>
    <w:p w14:paraId="174F9682" w14:textId="77777777" w:rsidR="00330DE8" w:rsidRPr="004826D1" w:rsidRDefault="00702EF7" w:rsidP="00330DE8">
      <w:pPr>
        <w:spacing w:before="120" w:after="120"/>
        <w:jc w:val="both"/>
        <w:rPr>
          <w:rFonts w:cs="Times New Roman"/>
          <w:szCs w:val="24"/>
        </w:rPr>
      </w:pPr>
      <w:r w:rsidRPr="004826D1">
        <w:rPr>
          <w:rFonts w:cs="Times New Roman"/>
          <w:szCs w:val="24"/>
        </w:rPr>
        <w:t>Uzlabota augsnes struktūra nodrošina labāku mēslojuma uzņemšanu un rada mazāku N noteci, tādejādi samazinot N</w:t>
      </w:r>
      <w:r w:rsidRPr="004826D1">
        <w:rPr>
          <w:rFonts w:cs="Times New Roman"/>
          <w:szCs w:val="24"/>
          <w:vertAlign w:val="subscript"/>
        </w:rPr>
        <w:t>2</w:t>
      </w:r>
      <w:r w:rsidRPr="004826D1">
        <w:rPr>
          <w:rFonts w:cs="Times New Roman"/>
          <w:szCs w:val="24"/>
        </w:rPr>
        <w:t xml:space="preserve">O emisijas. </w:t>
      </w:r>
    </w:p>
    <w:p w14:paraId="634DC67A" w14:textId="77777777" w:rsidR="00330DE8" w:rsidRPr="004826D1" w:rsidRDefault="00702EF7" w:rsidP="00330DE8">
      <w:pPr>
        <w:spacing w:before="120" w:after="120"/>
        <w:jc w:val="both"/>
        <w:rPr>
          <w:rFonts w:cs="Times New Roman"/>
          <w:szCs w:val="24"/>
        </w:rPr>
      </w:pPr>
      <w:r w:rsidRPr="004826D1">
        <w:rPr>
          <w:rFonts w:cs="Times New Roman"/>
          <w:szCs w:val="24"/>
        </w:rPr>
        <w:t>Sabalansēta dzīvnieku vajadzībām atbilstoša barība pozitīvi ietekmē N</w:t>
      </w:r>
      <w:r w:rsidRPr="004826D1">
        <w:rPr>
          <w:rFonts w:cs="Times New Roman"/>
          <w:szCs w:val="24"/>
          <w:vertAlign w:val="subscript"/>
        </w:rPr>
        <w:t>2</w:t>
      </w:r>
      <w:r w:rsidRPr="004826D1">
        <w:rPr>
          <w:rFonts w:cs="Times New Roman"/>
          <w:szCs w:val="24"/>
        </w:rPr>
        <w:t>O emisiju samazinājumu</w:t>
      </w:r>
      <w:r w:rsidR="00330DE8" w:rsidRPr="004826D1">
        <w:rPr>
          <w:rFonts w:cs="Times New Roman"/>
          <w:szCs w:val="24"/>
        </w:rPr>
        <w:t>, s</w:t>
      </w:r>
      <w:r w:rsidRPr="004826D1">
        <w:rPr>
          <w:rFonts w:cs="Times New Roman"/>
          <w:szCs w:val="24"/>
        </w:rPr>
        <w:t>avukārt uzlabojot barības kvalitāti palielinās barības sagremojamība un samazinās CH</w:t>
      </w:r>
      <w:r w:rsidRPr="004826D1">
        <w:rPr>
          <w:rFonts w:cs="Times New Roman"/>
          <w:szCs w:val="24"/>
          <w:vertAlign w:val="subscript"/>
        </w:rPr>
        <w:t>4</w:t>
      </w:r>
      <w:r w:rsidRPr="004826D1">
        <w:rPr>
          <w:rFonts w:cs="Times New Roman"/>
          <w:szCs w:val="24"/>
        </w:rPr>
        <w:t xml:space="preserve"> emisijas. </w:t>
      </w:r>
    </w:p>
    <w:p w14:paraId="39C41A93" w14:textId="77777777" w:rsidR="001B7075" w:rsidRPr="004826D1" w:rsidRDefault="00702EF7" w:rsidP="001B7075">
      <w:pPr>
        <w:spacing w:before="120" w:after="120"/>
        <w:jc w:val="both"/>
        <w:rPr>
          <w:rFonts w:cs="Times New Roman"/>
          <w:szCs w:val="24"/>
        </w:rPr>
      </w:pPr>
      <w:r w:rsidRPr="004826D1">
        <w:rPr>
          <w:rFonts w:cs="Times New Roman"/>
          <w:szCs w:val="24"/>
        </w:rPr>
        <w:t>Kūtsmēslu fermentācijas biogāzes reaktorā mērķis ir samazināt SEG emisijas līdz minimumam lielajās liellopu, cūku un putnkopības saimniecībās, nodrošinot efektīvu kūtsmēslu apsaimniekošanu un vērtīga mēslojuma ražošanu lauksaimniecības kūltūraugiem.</w:t>
      </w:r>
      <w:r w:rsidR="00330DE8" w:rsidRPr="004826D1">
        <w:rPr>
          <w:rFonts w:cs="Times New Roman"/>
          <w:szCs w:val="24"/>
        </w:rPr>
        <w:t xml:space="preserve"> </w:t>
      </w:r>
      <w:r w:rsidRPr="004826D1">
        <w:rPr>
          <w:rFonts w:cs="Times New Roman"/>
          <w:szCs w:val="24"/>
        </w:rPr>
        <w:t>Biogāzes izmantošanas ieguvum</w:t>
      </w:r>
      <w:r w:rsidR="00330DE8" w:rsidRPr="004826D1">
        <w:rPr>
          <w:rFonts w:cs="Times New Roman"/>
          <w:szCs w:val="24"/>
        </w:rPr>
        <w:t>i</w:t>
      </w:r>
      <w:r w:rsidRPr="004826D1">
        <w:rPr>
          <w:rFonts w:cs="Times New Roman"/>
          <w:szCs w:val="24"/>
        </w:rPr>
        <w:t xml:space="preserve"> </w:t>
      </w:r>
      <w:r w:rsidR="00330DE8" w:rsidRPr="004826D1">
        <w:rPr>
          <w:rFonts w:cs="Times New Roman"/>
          <w:szCs w:val="24"/>
        </w:rPr>
        <w:t xml:space="preserve">ir ieskaitīti </w:t>
      </w:r>
      <w:r w:rsidRPr="004826D1">
        <w:rPr>
          <w:rFonts w:cs="Times New Roman"/>
          <w:szCs w:val="24"/>
        </w:rPr>
        <w:t>enerģētikas</w:t>
      </w:r>
      <w:r w:rsidR="00330DE8" w:rsidRPr="004826D1">
        <w:rPr>
          <w:rFonts w:cs="Times New Roman"/>
          <w:szCs w:val="24"/>
        </w:rPr>
        <w:t xml:space="preserve"> jomā</w:t>
      </w:r>
      <w:r w:rsidR="001B7075" w:rsidRPr="004826D1">
        <w:rPr>
          <w:rFonts w:cs="Times New Roman"/>
          <w:szCs w:val="24"/>
        </w:rPr>
        <w:t xml:space="preserve">, bet lauksaimniecības jomā paliek </w:t>
      </w:r>
      <w:r w:rsidRPr="004826D1">
        <w:rPr>
          <w:rFonts w:cs="Times New Roman"/>
          <w:szCs w:val="24"/>
        </w:rPr>
        <w:t>kūtsmēslu radīto emisiju samazinājums.</w:t>
      </w:r>
    </w:p>
    <w:p w14:paraId="333C5497" w14:textId="77777777" w:rsidR="00702EF7" w:rsidRPr="004826D1" w:rsidRDefault="00702EF7" w:rsidP="00702EF7">
      <w:pPr>
        <w:spacing w:before="120" w:after="120"/>
        <w:jc w:val="both"/>
        <w:rPr>
          <w:rFonts w:cs="Times New Roman"/>
          <w:szCs w:val="24"/>
        </w:rPr>
      </w:pPr>
      <w:r w:rsidRPr="004826D1">
        <w:rPr>
          <w:rFonts w:cs="Times New Roman"/>
          <w:szCs w:val="24"/>
        </w:rPr>
        <w:t xml:space="preserve">Meža ieaudzēšana </w:t>
      </w:r>
      <w:r w:rsidR="001B7075" w:rsidRPr="004826D1">
        <w:rPr>
          <w:rFonts w:cs="Times New Roman"/>
          <w:szCs w:val="24"/>
        </w:rPr>
        <w:t xml:space="preserve">ar atjaunotās audzes kopšanu </w:t>
      </w:r>
      <w:r w:rsidRPr="004826D1">
        <w:rPr>
          <w:rFonts w:cs="Times New Roman"/>
          <w:szCs w:val="24"/>
        </w:rPr>
        <w:t>ir viens no efektīvākajiem pasākumiem CO</w:t>
      </w:r>
      <w:r w:rsidRPr="004826D1">
        <w:rPr>
          <w:rFonts w:cs="Times New Roman"/>
          <w:szCs w:val="24"/>
          <w:vertAlign w:val="subscript"/>
        </w:rPr>
        <w:t>2</w:t>
      </w:r>
      <w:r w:rsidRPr="004826D1">
        <w:rPr>
          <w:rFonts w:cs="Times New Roman"/>
          <w:szCs w:val="24"/>
        </w:rPr>
        <w:t xml:space="preserve"> piesaistes palielināšanai.</w:t>
      </w:r>
      <w:r w:rsidR="001B7075" w:rsidRPr="004826D1">
        <w:rPr>
          <w:rFonts w:cs="Times New Roman"/>
          <w:szCs w:val="24"/>
        </w:rPr>
        <w:t xml:space="preserve"> </w:t>
      </w:r>
      <w:r w:rsidRPr="004826D1">
        <w:rPr>
          <w:rFonts w:cs="Times New Roman"/>
          <w:szCs w:val="24"/>
        </w:rPr>
        <w:t>Meliorācija sistēmu ierīkošana palielina meža produktivitāti, līdz ar to arī SEG emisiju piesaisti.</w:t>
      </w:r>
    </w:p>
    <w:p w14:paraId="2C8600DE" w14:textId="77777777" w:rsidR="00702EF7" w:rsidRPr="004826D1" w:rsidRDefault="00702EF7" w:rsidP="00702EF7">
      <w:pPr>
        <w:spacing w:before="120" w:after="120"/>
        <w:jc w:val="both"/>
        <w:rPr>
          <w:rFonts w:cs="Times New Roman"/>
          <w:szCs w:val="24"/>
        </w:rPr>
      </w:pPr>
      <w:r w:rsidRPr="004826D1">
        <w:rPr>
          <w:rFonts w:cs="Times New Roman"/>
          <w:szCs w:val="24"/>
        </w:rPr>
        <w:t>Koksnes pelnu izmantošana meža augsnes ielabošanā izraisa strauju barības vielu elementu koncentrācijas pieaugumu augsnē</w:t>
      </w:r>
      <w:r w:rsidR="001B7075" w:rsidRPr="004826D1">
        <w:rPr>
          <w:rFonts w:cs="Times New Roman"/>
          <w:szCs w:val="24"/>
        </w:rPr>
        <w:t xml:space="preserve">, </w:t>
      </w:r>
      <w:r w:rsidRPr="004826D1">
        <w:rPr>
          <w:rFonts w:cs="Times New Roman"/>
          <w:szCs w:val="24"/>
        </w:rPr>
        <w:t>veidoj</w:t>
      </w:r>
      <w:r w:rsidR="001B7075" w:rsidRPr="004826D1">
        <w:rPr>
          <w:rFonts w:cs="Times New Roman"/>
          <w:szCs w:val="24"/>
        </w:rPr>
        <w:t>ot</w:t>
      </w:r>
      <w:r w:rsidRPr="004826D1">
        <w:rPr>
          <w:rFonts w:cs="Times New Roman"/>
          <w:szCs w:val="24"/>
        </w:rPr>
        <w:t xml:space="preserve"> lielāk</w:t>
      </w:r>
      <w:r w:rsidR="001B7075" w:rsidRPr="004826D1">
        <w:rPr>
          <w:rFonts w:cs="Times New Roman"/>
          <w:szCs w:val="24"/>
        </w:rPr>
        <w:t>u</w:t>
      </w:r>
      <w:r w:rsidRPr="004826D1">
        <w:rPr>
          <w:rFonts w:cs="Times New Roman"/>
          <w:szCs w:val="24"/>
        </w:rPr>
        <w:t xml:space="preserve"> dzīvās masas pieaugum</w:t>
      </w:r>
      <w:r w:rsidR="001B7075" w:rsidRPr="004826D1">
        <w:rPr>
          <w:rFonts w:cs="Times New Roman"/>
          <w:szCs w:val="24"/>
        </w:rPr>
        <w:t>u un</w:t>
      </w:r>
      <w:r w:rsidRPr="004826D1">
        <w:rPr>
          <w:rFonts w:cs="Times New Roman"/>
          <w:szCs w:val="24"/>
        </w:rPr>
        <w:t xml:space="preserve"> palielin</w:t>
      </w:r>
      <w:r w:rsidR="001B7075" w:rsidRPr="004826D1">
        <w:rPr>
          <w:rFonts w:cs="Times New Roman"/>
          <w:szCs w:val="24"/>
        </w:rPr>
        <w:t>ot</w:t>
      </w:r>
      <w:r w:rsidRPr="004826D1">
        <w:rPr>
          <w:rFonts w:cs="Times New Roman"/>
          <w:szCs w:val="24"/>
        </w:rPr>
        <w:t xml:space="preserve"> CO</w:t>
      </w:r>
      <w:r w:rsidRPr="004826D1">
        <w:rPr>
          <w:rFonts w:cs="Times New Roman"/>
          <w:szCs w:val="24"/>
          <w:vertAlign w:val="subscript"/>
        </w:rPr>
        <w:t>2</w:t>
      </w:r>
      <w:r w:rsidRPr="004826D1">
        <w:rPr>
          <w:rFonts w:cs="Times New Roman"/>
          <w:szCs w:val="24"/>
        </w:rPr>
        <w:t xml:space="preserve"> piesaist</w:t>
      </w:r>
      <w:r w:rsidR="001B7075" w:rsidRPr="004826D1">
        <w:rPr>
          <w:rFonts w:cs="Times New Roman"/>
          <w:szCs w:val="24"/>
        </w:rPr>
        <w:t>i</w:t>
      </w:r>
      <w:r w:rsidRPr="004826D1">
        <w:rPr>
          <w:rStyle w:val="FootnoteReference"/>
          <w:rFonts w:eastAsia="Calibri"/>
          <w:szCs w:val="24"/>
        </w:rPr>
        <w:footnoteReference w:id="47"/>
      </w:r>
      <w:r w:rsidRPr="004826D1">
        <w:rPr>
          <w:rFonts w:cs="Times New Roman"/>
          <w:szCs w:val="24"/>
        </w:rPr>
        <w:t>.</w:t>
      </w:r>
    </w:p>
    <w:p w14:paraId="2BDC2096" w14:textId="77777777" w:rsidR="00702EF7" w:rsidRPr="004826D1" w:rsidRDefault="00702EF7" w:rsidP="00702EF7">
      <w:pPr>
        <w:spacing w:before="120" w:after="120"/>
        <w:jc w:val="both"/>
        <w:rPr>
          <w:rFonts w:cs="Times New Roman"/>
          <w:szCs w:val="24"/>
        </w:rPr>
      </w:pPr>
    </w:p>
    <w:p w14:paraId="36DAEF76" w14:textId="77777777" w:rsidR="00756165" w:rsidRPr="004826D1" w:rsidRDefault="00756165" w:rsidP="00756165">
      <w:pPr>
        <w:pStyle w:val="Heading31"/>
        <w:rPr>
          <w:rFonts w:ascii="Times New Roman" w:hAnsi="Times New Roman"/>
          <w:lang w:val="lv-LV"/>
        </w:rPr>
      </w:pPr>
      <w:bookmarkStart w:id="202" w:name="_Toc169602273"/>
      <w:r w:rsidRPr="004826D1">
        <w:rPr>
          <w:rFonts w:ascii="Times New Roman" w:hAnsi="Times New Roman"/>
          <w:lang w:val="lv-LV"/>
        </w:rPr>
        <w:lastRenderedPageBreak/>
        <w:t>3.2.9.</w:t>
      </w:r>
      <w:r w:rsidRPr="004826D1">
        <w:rPr>
          <w:rFonts w:ascii="Times New Roman" w:hAnsi="Times New Roman"/>
          <w:lang w:val="lv-LV"/>
        </w:rPr>
        <w:tab/>
        <w:t>ZIZIMM</w:t>
      </w:r>
      <w:bookmarkEnd w:id="202"/>
    </w:p>
    <w:p w14:paraId="08215AF6"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9F67D7">
        <w:rPr>
          <w:rFonts w:eastAsia="Cambria" w:cs="Times New Roman"/>
          <w:szCs w:val="24"/>
          <w:shd w:val="clear" w:color="auto" w:fill="FFFFFF"/>
        </w:rPr>
        <w:t>apmežotā platība valdošo koku sugu un meža tipu griezumā, potenciālais krājas pieaugums koku sugu un meža tipu griezumā, jaunaudžu kopšana meža tipu un valdošās sugas griezumā u.c.</w:t>
      </w:r>
      <w:r w:rsidRPr="009F67D7">
        <w:rPr>
          <w:rFonts w:eastAsia="Cambria" w:cs="Times New Roman"/>
          <w:szCs w:val="24"/>
        </w:rPr>
        <w:t>) no sektorālās ministrijas tiek sagatavoti saskaņā ar MK noteikumu Nr. 675 VI daļu.</w:t>
      </w:r>
    </w:p>
    <w:p w14:paraId="02AB41B9" w14:textId="77777777" w:rsidR="009F67D7" w:rsidRPr="009F67D7" w:rsidRDefault="009F67D7" w:rsidP="009F67D7">
      <w:pPr>
        <w:jc w:val="both"/>
        <w:rPr>
          <w:rFonts w:eastAsia="Cambria" w:cs="Times New Roman"/>
          <w:szCs w:val="24"/>
          <w:lang w:eastAsia="lv-LV"/>
        </w:rPr>
      </w:pPr>
      <w:r w:rsidRPr="009F67D7">
        <w:rPr>
          <w:rFonts w:eastAsia="Cambria" w:cs="Times New Roman"/>
          <w:szCs w:val="24"/>
          <w:lang w:eastAsia="lv-LV"/>
        </w:rPr>
        <w:t>Bāzes scenārijā tiek iekļauta ietekme no sekojošie pasākumiem:</w:t>
      </w:r>
    </w:p>
    <w:p w14:paraId="7F050C14"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Pākšaugu izmantošana lauksaimniecībā, saglabājoties pākšaugu sējplatībai 2015.-2020. gadu līmenī;</w:t>
      </w:r>
    </w:p>
    <w:p w14:paraId="7FAD4C1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Aramzemju transformācija par zālājiem;</w:t>
      </w:r>
    </w:p>
    <w:p w14:paraId="364DADD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Meliorācijas sistēmu atjaunošana un modernizācija meža zemēs, nesamazinoties esošo meliorēto meža zemju platībai;</w:t>
      </w:r>
    </w:p>
    <w:p w14:paraId="5D1382BF" w14:textId="77777777" w:rsidR="009F67D7" w:rsidRPr="009F67D7" w:rsidRDefault="009F67D7" w:rsidP="00B71063">
      <w:pPr>
        <w:pStyle w:val="ListParagraph"/>
        <w:numPr>
          <w:ilvl w:val="0"/>
          <w:numId w:val="35"/>
        </w:numPr>
        <w:spacing w:before="120" w:after="120"/>
        <w:contextualSpacing/>
        <w:jc w:val="both"/>
        <w:rPr>
          <w:rFonts w:eastAsia="Cambria" w:cs="Times New Roman"/>
          <w:szCs w:val="24"/>
        </w:rPr>
      </w:pPr>
      <w:r w:rsidRPr="009F67D7">
        <w:rPr>
          <w:rFonts w:eastAsia="Cambria" w:cs="Times New Roman"/>
          <w:szCs w:val="24"/>
        </w:rPr>
        <w:t>Apmežošana, kas veikta līdz 2020. gadam;</w:t>
      </w:r>
    </w:p>
    <w:p w14:paraId="508BD192"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Jaunaudžu kopšanas cirtes, saglabājoties izkopto jaunaudžu platībai kā vidēji 2015.-2020. gados;</w:t>
      </w:r>
    </w:p>
    <w:p w14:paraId="1EF3B55E"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Meža atjaunošana pēc dabiskiem traucējumiem (ugunsgrēkiem, vēja bojājumiem).</w:t>
      </w:r>
    </w:p>
    <w:p w14:paraId="06819D23"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Saskaņā ar bāzes scenāriju 2030.gadā ZIZIMM sektorā tiek prognozēts CO</w:t>
      </w:r>
      <w:r w:rsidRPr="009F67D7">
        <w:rPr>
          <w:rFonts w:eastAsia="Cambria" w:cs="Times New Roman"/>
          <w:szCs w:val="24"/>
          <w:vertAlign w:val="subscript"/>
        </w:rPr>
        <w:t>2</w:t>
      </w:r>
      <w:r w:rsidRPr="009F67D7">
        <w:rPr>
          <w:rFonts w:eastAsia="Cambria" w:cs="Times New Roman"/>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3575EDDB" w14:textId="64035A6E"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SEG emisijas, ko rada aramzemes, zālāji, mitrāji un apbūve, kopš 1990. 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 gada līdz 2020. gadam turpinājies oglekļa uzkrājuma pieaugums, tomēr, salīdzinot ar 1990. gadu,</w:t>
      </w:r>
      <w:r w:rsidR="00857535">
        <w:rPr>
          <w:rFonts w:eastAsia="Cambria" w:cs="Times New Roman"/>
          <w:szCs w:val="24"/>
        </w:rPr>
        <w:t xml:space="preserve"> </w:t>
      </w:r>
      <w:r w:rsidRPr="009F67D7">
        <w:rPr>
          <w:rFonts w:eastAsia="Cambria" w:cs="Times New Roman"/>
          <w:szCs w:val="24"/>
        </w:rPr>
        <w:t>oglekļa akumulācijas temps meža ekosistēmā ir samazinājies.</w:t>
      </w:r>
    </w:p>
    <w:p w14:paraId="0832AF7F" w14:textId="3A4AC02C"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samazināšanos no 1990. gada sekmēja mežaudžu vecuma struktūras izmaiņas, kas būtiski palielināja koksnes resursu kopējo apjomu un</w:t>
      </w:r>
      <w:r w:rsidR="00857535">
        <w:rPr>
          <w:rFonts w:eastAsia="Cambria" w:cs="Times New Roman"/>
          <w:szCs w:val="24"/>
        </w:rPr>
        <w:t xml:space="preserve"> </w:t>
      </w:r>
      <w:r w:rsidRPr="009F67D7">
        <w:rPr>
          <w:rFonts w:eastAsia="Cambria" w:cs="Times New Roman"/>
          <w:szCs w:val="24"/>
        </w:rPr>
        <w:t>pieejamību, kā arī palielināja dabiskā atmiruma lomu oglekļa apritē meža ekosistēmā.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w:t>
      </w:r>
      <w:r w:rsidR="00857535">
        <w:rPr>
          <w:rFonts w:eastAsia="Cambria" w:cs="Times New Roman"/>
          <w:szCs w:val="24"/>
        </w:rPr>
        <w:t xml:space="preserve"> </w:t>
      </w:r>
      <w:r w:rsidRPr="009F67D7">
        <w:rPr>
          <w:rFonts w:eastAsia="Cambria" w:cs="Times New Roman"/>
          <w:szCs w:val="24"/>
        </w:rPr>
        <w:t>atbilstoši spēkā esošajām likumdošanas normām.</w:t>
      </w:r>
    </w:p>
    <w:p w14:paraId="1B8352D0"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samazināšanās prognoze pēc 2020. gada </w:t>
      </w:r>
      <w:r w:rsidR="00602984">
        <w:rPr>
          <w:rFonts w:eastAsia="Cambria" w:cs="Times New Roman"/>
          <w:szCs w:val="24"/>
        </w:rPr>
        <w:t>(skat. 3.</w:t>
      </w:r>
      <w:r w:rsidR="00367DDE">
        <w:rPr>
          <w:rFonts w:eastAsia="Cambria" w:cs="Times New Roman"/>
          <w:szCs w:val="24"/>
        </w:rPr>
        <w:t>35</w:t>
      </w:r>
      <w:r w:rsidR="00602984">
        <w:rPr>
          <w:rFonts w:eastAsia="Cambria" w:cs="Times New Roman"/>
          <w:szCs w:val="24"/>
        </w:rPr>
        <w:t xml:space="preserve">. att.) </w:t>
      </w:r>
      <w:r w:rsidRPr="009F67D7">
        <w:rPr>
          <w:rFonts w:eastAsia="Cambria" w:cs="Times New Roman"/>
          <w:szCs w:val="24"/>
        </w:rPr>
        <w:t>lielā mērā saistīta ar neto piesaistes samazināšanos koksnes produktos un nedzīvajā koksnē, jo, saglabājoties esošajam vai nedaudz mazākam mežizstrādes apjomam, neto CO</w:t>
      </w:r>
      <w:r w:rsidRPr="009F67D7">
        <w:rPr>
          <w:rFonts w:eastAsia="Cambria" w:cs="Times New Roman"/>
          <w:szCs w:val="24"/>
          <w:vertAlign w:val="subscript"/>
        </w:rPr>
        <w:t>2</w:t>
      </w:r>
      <w:r w:rsidRPr="009F67D7">
        <w:rPr>
          <w:rFonts w:eastAsia="Cambria" w:cs="Times New Roman"/>
          <w:szCs w:val="24"/>
        </w:rPr>
        <w:t xml:space="preserve"> piesaiste šajās krātuvēs tiecas uz nulli, jo piesaisti koksnes produktos un nedzīvajā koksnē kompensē emisijas, 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9F67D7">
        <w:rPr>
          <w:rFonts w:eastAsia="Cambria" w:cs="Times New Roman"/>
          <w:szCs w:val="24"/>
          <w:vertAlign w:val="subscript"/>
        </w:rPr>
        <w:t>2</w:t>
      </w:r>
      <w:r w:rsidRPr="009F67D7">
        <w:rPr>
          <w:rFonts w:eastAsia="Cambria" w:cs="Times New Roman"/>
          <w:szCs w:val="24"/>
        </w:rPr>
        <w:t xml:space="preserve"> emisijas.</w:t>
      </w:r>
    </w:p>
    <w:p w14:paraId="180CA778" w14:textId="524E9D95" w:rsidR="009F67D7" w:rsidRPr="009F67D7" w:rsidRDefault="000654E1" w:rsidP="009F67D7">
      <w:pPr>
        <w:jc w:val="center"/>
        <w:rPr>
          <w:rFonts w:cs="Times New Roman"/>
          <w:szCs w:val="24"/>
        </w:rPr>
      </w:pPr>
      <w:r>
        <w:rPr>
          <w:rFonts w:cs="Times New Roman"/>
          <w:noProof/>
          <w:szCs w:val="24"/>
          <w:lang w:eastAsia="lv-LV"/>
        </w:rPr>
        <w:lastRenderedPageBreak/>
        <w:drawing>
          <wp:inline distT="0" distB="0" distL="0" distR="0" wp14:anchorId="3BAE0B8A" wp14:editId="55AC6940">
            <wp:extent cx="4057650" cy="2438400"/>
            <wp:effectExtent l="0" t="0" r="0" b="0"/>
            <wp:docPr id="36" name="Picture 36"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graph with different colored bars and number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650" cy="2438400"/>
                    </a:xfrm>
                    <a:prstGeom prst="rect">
                      <a:avLst/>
                    </a:prstGeom>
                    <a:noFill/>
                    <a:ln>
                      <a:noFill/>
                    </a:ln>
                  </pic:spPr>
                </pic:pic>
              </a:graphicData>
            </a:graphic>
          </wp:inline>
        </w:drawing>
      </w:r>
    </w:p>
    <w:p w14:paraId="38815905" w14:textId="08EED7C4" w:rsidR="009F67D7" w:rsidRPr="009F67D7" w:rsidRDefault="00602984" w:rsidP="009F67D7">
      <w:pPr>
        <w:pStyle w:val="Caption"/>
        <w:spacing w:before="0"/>
        <w:rPr>
          <w:rFonts w:eastAsia="Cambria"/>
          <w:bCs/>
          <w:sz w:val="24"/>
          <w:szCs w:val="24"/>
        </w:rPr>
      </w:pPr>
      <w:r>
        <w:rPr>
          <w:rFonts w:eastAsia="Cambria"/>
          <w:bCs/>
          <w:sz w:val="24"/>
          <w:szCs w:val="24"/>
          <w:lang w:eastAsia="lv-LV"/>
        </w:rPr>
        <w:t>3.</w:t>
      </w:r>
      <w:r w:rsidR="00367DDE">
        <w:rPr>
          <w:rFonts w:eastAsia="Cambria"/>
          <w:bCs/>
          <w:sz w:val="24"/>
          <w:szCs w:val="24"/>
          <w:lang w:eastAsia="lv-LV"/>
        </w:rPr>
        <w:t>35</w:t>
      </w:r>
      <w:r w:rsidR="009F67D7" w:rsidRPr="009F67D7">
        <w:rPr>
          <w:rFonts w:eastAsia="Cambria"/>
          <w:bCs/>
          <w:sz w:val="24"/>
          <w:szCs w:val="24"/>
          <w:lang w:eastAsia="lv-LV"/>
        </w:rPr>
        <w:t>.attēls.</w:t>
      </w:r>
      <w:r w:rsidR="00857535">
        <w:rPr>
          <w:rFonts w:eastAsia="Cambria"/>
          <w:bCs/>
          <w:sz w:val="24"/>
          <w:szCs w:val="24"/>
          <w:lang w:eastAsia="lv-LV"/>
        </w:rPr>
        <w:t xml:space="preserve"> </w:t>
      </w:r>
      <w:r w:rsidR="009F67D7" w:rsidRPr="009F67D7">
        <w:rPr>
          <w:rFonts w:eastAsia="Cambria"/>
          <w:bCs/>
          <w:sz w:val="24"/>
          <w:szCs w:val="24"/>
        </w:rPr>
        <w:t>ZIZIMM sektora SEG emisijas 2005.-2030.gadā (bāzes scenārijs) (kt CO</w:t>
      </w:r>
      <w:r w:rsidR="009F67D7" w:rsidRPr="009F67D7">
        <w:rPr>
          <w:rFonts w:eastAsia="Cambria"/>
          <w:bCs/>
          <w:sz w:val="24"/>
          <w:szCs w:val="24"/>
          <w:vertAlign w:val="subscript"/>
        </w:rPr>
        <w:t>2</w:t>
      </w:r>
      <w:r w:rsidR="009F67D7" w:rsidRPr="009F67D7">
        <w:rPr>
          <w:rFonts w:eastAsia="Cambria"/>
          <w:bCs/>
          <w:sz w:val="24"/>
          <w:szCs w:val="24"/>
        </w:rPr>
        <w:t xml:space="preserve"> ekv.)</w:t>
      </w:r>
    </w:p>
    <w:p w14:paraId="5540F805" w14:textId="77777777" w:rsidR="00EC5ADD" w:rsidRPr="004826D1" w:rsidRDefault="004B6EC8" w:rsidP="00F7781D">
      <w:pPr>
        <w:pStyle w:val="Heading1"/>
        <w:spacing w:before="120"/>
        <w:rPr>
          <w:rFonts w:ascii="Times New Roman" w:hAnsi="Times New Roman"/>
          <w:lang w:val="lv-LV"/>
        </w:rPr>
      </w:pPr>
      <w:r w:rsidRPr="009F67D7">
        <w:rPr>
          <w:rFonts w:ascii="Times New Roman" w:hAnsi="Times New Roman"/>
          <w:sz w:val="24"/>
          <w:szCs w:val="24"/>
          <w:lang w:val="lv-LV"/>
        </w:rPr>
        <w:br w:type="page"/>
      </w:r>
      <w:bookmarkStart w:id="203" w:name="_Toc169602274"/>
      <w:r w:rsidR="00EC5ADD" w:rsidRPr="004826D1">
        <w:rPr>
          <w:rFonts w:ascii="Times New Roman" w:hAnsi="Times New Roman"/>
          <w:lang w:val="lv-LV"/>
        </w:rPr>
        <w:lastRenderedPageBreak/>
        <w:t>4. SIVN veikšanai lietoto galveno metožu un metodoloģijas apraksts</w:t>
      </w:r>
      <w:bookmarkEnd w:id="203"/>
    </w:p>
    <w:p w14:paraId="3877C48A" w14:textId="77777777" w:rsidR="00EC5ADD" w:rsidRPr="004826D1" w:rsidRDefault="00EC5ADD" w:rsidP="00EC5ADD">
      <w:pPr>
        <w:rPr>
          <w:lang w:eastAsia="en-GB"/>
        </w:rPr>
      </w:pPr>
    </w:p>
    <w:p w14:paraId="65BBAB1C" w14:textId="77777777" w:rsidR="00EC5ADD" w:rsidRPr="004826D1" w:rsidRDefault="00EC5ADD" w:rsidP="00EC5ADD">
      <w:pPr>
        <w:pStyle w:val="Heading2"/>
        <w:jc w:val="both"/>
        <w:rPr>
          <w:rFonts w:ascii="Times New Roman" w:hAnsi="Times New Roman"/>
          <w:lang w:val="lv-LV"/>
        </w:rPr>
      </w:pPr>
      <w:bookmarkStart w:id="204" w:name="_Toc169602275"/>
      <w:r w:rsidRPr="004826D1">
        <w:rPr>
          <w:rFonts w:ascii="Times New Roman" w:hAnsi="Times New Roman"/>
          <w:lang w:val="lv-LV"/>
        </w:rPr>
        <w:t>4.1 Vispārējā pieeja un metodes</w:t>
      </w:r>
      <w:bookmarkEnd w:id="204"/>
    </w:p>
    <w:p w14:paraId="6BA04E3A" w14:textId="77777777" w:rsidR="00EC5ADD" w:rsidRPr="004826D1" w:rsidRDefault="00EC5ADD" w:rsidP="00EC5ADD">
      <w:pPr>
        <w:spacing w:after="120"/>
        <w:jc w:val="both"/>
        <w:rPr>
          <w:rFonts w:cs="Times New Roman"/>
        </w:rPr>
      </w:pPr>
    </w:p>
    <w:p w14:paraId="7FE5E6FA" w14:textId="77777777" w:rsidR="00EC5ADD" w:rsidRPr="004826D1" w:rsidRDefault="00937AE5" w:rsidP="00EC5ADD">
      <w:pPr>
        <w:spacing w:after="120"/>
        <w:jc w:val="both"/>
        <w:rPr>
          <w:rFonts w:cs="Times New Roman"/>
        </w:rPr>
      </w:pPr>
      <w:r w:rsidRPr="004826D1">
        <w:rPr>
          <w:rFonts w:cs="Times New Roman"/>
        </w:rPr>
        <w:t>SIVN</w:t>
      </w:r>
      <w:r w:rsidR="00EC5ADD" w:rsidRPr="004826D1">
        <w:rPr>
          <w:rFonts w:cs="Times New Roman"/>
        </w:rPr>
        <w:t xml:space="preserve"> ir process, kura mērķis ir uzlabot nozares politikas, politikas plāna, rīcības programmas, kā arī citu nacionālo, reģionālo un vietējo stratēģisko plānošanas dokumentu un normatīvo aktu kvalitāti, vērtējot šo dokumentu iespējamo ietekmi uz vidi un laicīgi novēršot vai mazinot to īstenošanas negatīvās ietekmes. Šis process ir vērsts uz to, lai izvērtētu, kādas būtiskas tiešas vai netiešas pārmaiņas vidē var rasties politikas plānošanas dokumentu īstenošanas rezultātā, un kā tās ietekmēs dabas kapitālu – resursus un pakalpojumus. SIVN ir veicams plānu un programmu sagatavošanas posmā, tā nepieciešamību un procesu nosaka starptautiskā un nacionālā likumdošana.</w:t>
      </w:r>
    </w:p>
    <w:p w14:paraId="31DAF1D8" w14:textId="77777777" w:rsidR="00EC5ADD" w:rsidRPr="004826D1" w:rsidRDefault="00EC5ADD" w:rsidP="00EC5ADD">
      <w:pPr>
        <w:spacing w:after="120"/>
        <w:jc w:val="both"/>
        <w:rPr>
          <w:rFonts w:cs="Times New Roman"/>
        </w:rPr>
      </w:pPr>
      <w:r w:rsidRPr="004826D1">
        <w:rPr>
          <w:rFonts w:cs="Times New Roman"/>
        </w:rPr>
        <w:t xml:space="preserve">SIVN novērtējuma procedūras laikā tiek sagatavots </w:t>
      </w:r>
      <w:r w:rsidRPr="004826D1">
        <w:rPr>
          <w:rFonts w:cs="Times New Roman"/>
          <w:u w:val="single"/>
        </w:rPr>
        <w:t>Vides pārskats</w:t>
      </w:r>
      <w:r w:rsidRPr="004826D1">
        <w:rPr>
          <w:rFonts w:cs="Times New Roman"/>
        </w:rPr>
        <w:t>, kurā tiek iekļauta informācija par plānošanas dokumentu, tā mērķiem, saistību ar citiem plānošanas dokumentiem. Tiek aprakstīta vides pārskata sagatavošanas procedūra un novērtējuma veikšanai lietoto galveno pamatprincipu un metožu apraksts. Vides pārskatā tiek analizēts vides stāvoklis teritorijās, kuras saistītas ar plānošanas dokumentu.</w:t>
      </w:r>
    </w:p>
    <w:p w14:paraId="377CAA09" w14:textId="77777777" w:rsidR="00EC5ADD" w:rsidRPr="004826D1" w:rsidRDefault="00EC5ADD" w:rsidP="00EC5ADD">
      <w:pPr>
        <w:spacing w:after="120"/>
        <w:jc w:val="both"/>
        <w:rPr>
          <w:rFonts w:cs="Times New Roman"/>
        </w:rPr>
      </w:pPr>
      <w:r w:rsidRPr="004826D1">
        <w:rPr>
          <w:rFonts w:cs="Times New Roman"/>
        </w:rPr>
        <w:t>SIVN uzdevums ir novērtēt vides apstākļus un sniegt informāciju lēmumu pieņēmējiem, kā arī informēt plašāku sabiedrību par sagaidāmo būtisko ietekmi uz vidi plānošanas dokumenta ieviešanas gadījumā.</w:t>
      </w:r>
    </w:p>
    <w:p w14:paraId="4493E872" w14:textId="77777777" w:rsidR="00EC5ADD" w:rsidRPr="004826D1" w:rsidRDefault="00EC5ADD" w:rsidP="00EC5ADD">
      <w:pPr>
        <w:spacing w:after="120"/>
        <w:jc w:val="both"/>
        <w:rPr>
          <w:rFonts w:cs="Times New Roman"/>
        </w:rPr>
      </w:pPr>
      <w:r w:rsidRPr="004826D1">
        <w:rPr>
          <w:rFonts w:cs="Times New Roman"/>
        </w:rPr>
        <w:t xml:space="preserve">Vispārējo pieeju SIVN izstrādē </w:t>
      </w:r>
      <w:r w:rsidR="00294A1F" w:rsidRPr="004826D1">
        <w:rPr>
          <w:rFonts w:cs="Times New Roman"/>
        </w:rPr>
        <w:t>Plānam</w:t>
      </w:r>
      <w:r w:rsidR="008D19DB" w:rsidRPr="004826D1">
        <w:rPr>
          <w:rFonts w:cs="Times New Roman"/>
        </w:rPr>
        <w:t xml:space="preserve"> </w:t>
      </w:r>
      <w:r w:rsidRPr="004826D1">
        <w:rPr>
          <w:rFonts w:cs="Times New Roman"/>
        </w:rPr>
        <w:t>nosaka SIVN procedūru reglamentējošie normatīvie akti: likums „Par ietekmes uz vidi novērtējumu” un uz likuma pamata izdotie Ministru kabineta 2004. gada 23. marta noteikumi Nr.</w:t>
      </w:r>
      <w:r w:rsidR="00A9303A" w:rsidRPr="004826D1">
        <w:rPr>
          <w:rFonts w:cs="Times New Roman"/>
        </w:rPr>
        <w:t xml:space="preserve"> </w:t>
      </w:r>
      <w:r w:rsidRPr="004826D1">
        <w:rPr>
          <w:rFonts w:cs="Times New Roman"/>
        </w:rPr>
        <w:t>157 "Kārtība, kādā veicams ietekmes uz vidi stratēģiskais novērtējums" (</w:t>
      </w:r>
      <w:r w:rsidR="003C3141" w:rsidRPr="004826D1">
        <w:t>ar grozījumiem, kas pieņemti līdz 09.12.2016</w:t>
      </w:r>
      <w:r w:rsidRPr="004826D1">
        <w:rPr>
          <w:rFonts w:cs="Times New Roman"/>
        </w:rPr>
        <w:t>). Ar šiem normatīvajiem aktiem Latvijā ir pārņemta Eiropas Parlamenta un Padomes Direktīva 2001/42/EK „Par noteiktu plānu un programmu ietekmes uz vidi novērtējumu”</w:t>
      </w:r>
      <w:r w:rsidR="00877D49" w:rsidRPr="004826D1">
        <w:rPr>
          <w:rStyle w:val="FootnoteReference"/>
          <w:szCs w:val="24"/>
        </w:rPr>
        <w:t xml:space="preserve"> </w:t>
      </w:r>
      <w:r w:rsidR="00877D49" w:rsidRPr="004826D1">
        <w:rPr>
          <w:rStyle w:val="FootnoteReference"/>
          <w:szCs w:val="24"/>
        </w:rPr>
        <w:footnoteReference w:id="48"/>
      </w:r>
      <w:r w:rsidRPr="004826D1">
        <w:rPr>
          <w:rFonts w:cs="Times New Roman"/>
        </w:rPr>
        <w:t>.</w:t>
      </w:r>
      <w:r w:rsidR="000E02BA" w:rsidRPr="004826D1">
        <w:rPr>
          <w:rFonts w:cs="Times New Roman"/>
        </w:rPr>
        <w:t xml:space="preserve"> </w:t>
      </w:r>
    </w:p>
    <w:p w14:paraId="79493AB2" w14:textId="77777777" w:rsidR="00EC5ADD" w:rsidRPr="004826D1" w:rsidRDefault="00294A1F" w:rsidP="00EC5ADD">
      <w:pPr>
        <w:spacing w:after="120"/>
        <w:jc w:val="both"/>
        <w:rPr>
          <w:rFonts w:cs="Times New Roman"/>
        </w:rPr>
      </w:pPr>
      <w:r w:rsidRPr="004826D1">
        <w:t xml:space="preserve">Plāna </w:t>
      </w:r>
      <w:r w:rsidR="00EC5ADD" w:rsidRPr="004826D1">
        <w:t xml:space="preserve">SIVN procedūrā tiek vērtēts stratēģiskā līmenī, SIVN uzdevums nav sīki izvērtēt atsevišķu </w:t>
      </w:r>
      <w:r w:rsidRPr="004826D1">
        <w:t xml:space="preserve">Plāna </w:t>
      </w:r>
      <w:r w:rsidR="00EC5ADD" w:rsidRPr="004826D1">
        <w:t>pasākumu plānotos nosacījumus konkrētu projektu īstenošanas specifiskajos apstākļos, un daudzas lietas saistībā ar ietekmi uz vidi tiek/tiks vērtētas saskaņojot projektus jau projektēšanas un ieviešanas gaitā.</w:t>
      </w:r>
    </w:p>
    <w:p w14:paraId="095DC457" w14:textId="77777777" w:rsidR="00EC5ADD" w:rsidRPr="004826D1" w:rsidRDefault="00EC5ADD" w:rsidP="00EC5ADD">
      <w:pPr>
        <w:spacing w:after="120"/>
        <w:jc w:val="both"/>
        <w:rPr>
          <w:rFonts w:cs="Times New Roman"/>
        </w:rPr>
      </w:pPr>
      <w:r w:rsidRPr="004826D1">
        <w:rPr>
          <w:rFonts w:cs="Times New Roman"/>
        </w:rPr>
        <w:t>SIVN procesa pamatprincipi:</w:t>
      </w:r>
    </w:p>
    <w:p w14:paraId="6D41F2E1" w14:textId="77777777" w:rsidR="00EC5ADD" w:rsidRPr="004826D1" w:rsidRDefault="00EC5ADD" w:rsidP="00EC5ADD">
      <w:pPr>
        <w:spacing w:after="120"/>
        <w:jc w:val="both"/>
        <w:rPr>
          <w:rFonts w:cs="Times New Roman"/>
        </w:rPr>
      </w:pPr>
      <w:r w:rsidRPr="004826D1">
        <w:rPr>
          <w:rFonts w:cs="Times New Roman"/>
          <w:b/>
        </w:rPr>
        <w:t>Integrācija</w:t>
      </w:r>
      <w:r w:rsidRPr="004826D1">
        <w:rPr>
          <w:rFonts w:cs="Times New Roman"/>
        </w:rPr>
        <w:t xml:space="preserve"> – vides aspekti ir pilnībā jāintegrē politikas plānošanas dokumentā, tādēļ, lai izvairītos no konceptuālām kļūdām, tie ir jāņem vērā plānošanas sākumstadijā, tādējādi SIVN palīdz veikt piedāvāto rīcības virzienu analīzi un identificēt tās rīcības, kurām no vides viedokļa nepieciešama papildus izpēte par to ietekmi.</w:t>
      </w:r>
    </w:p>
    <w:p w14:paraId="160F8133" w14:textId="77777777" w:rsidR="00EC5ADD" w:rsidRPr="004826D1" w:rsidRDefault="00EC5ADD" w:rsidP="00EC5ADD">
      <w:pPr>
        <w:spacing w:after="120"/>
        <w:jc w:val="both"/>
        <w:rPr>
          <w:rFonts w:cs="Times New Roman"/>
        </w:rPr>
      </w:pPr>
      <w:r w:rsidRPr="004826D1">
        <w:rPr>
          <w:rFonts w:cs="Times New Roman"/>
          <w:b/>
        </w:rPr>
        <w:t>Piesardzības princips</w:t>
      </w:r>
      <w:r w:rsidRPr="004826D1">
        <w:rPr>
          <w:rFonts w:cs="Times New Roman"/>
        </w:rPr>
        <w:t xml:space="preserve"> – pieņemot lēmumus, nepieciešams izmantot piesardzības principu, pat ja plānotās darbības tieša negatīva ietekme nav pierādīta, jo ekosistēmu nestspēju jeb ietilpību un sakarību starp slodzēm un dabas kapitālu nav iespējams precīzi noteikt.</w:t>
      </w:r>
    </w:p>
    <w:p w14:paraId="6BDC44E3" w14:textId="77777777" w:rsidR="00EC5ADD" w:rsidRPr="004826D1" w:rsidRDefault="00EC5ADD" w:rsidP="00EC5ADD">
      <w:pPr>
        <w:spacing w:after="120"/>
        <w:jc w:val="both"/>
        <w:rPr>
          <w:rFonts w:cs="Times New Roman"/>
          <w:b/>
        </w:rPr>
      </w:pPr>
      <w:r w:rsidRPr="004826D1">
        <w:rPr>
          <w:rFonts w:cs="Times New Roman"/>
          <w:b/>
        </w:rPr>
        <w:t>Ilgtspējīgas attīstības princips</w:t>
      </w:r>
      <w:r w:rsidRPr="004826D1">
        <w:rPr>
          <w:rFonts w:cs="Times New Roman"/>
        </w:rPr>
        <w:t xml:space="preserve"> – Ilgtspējīga attīstība ir definēta kā viens no trim ES stratēģijas „Eiropa</w:t>
      </w:r>
      <w:r w:rsidR="00A9303A" w:rsidRPr="004826D1">
        <w:rPr>
          <w:rFonts w:cs="Times New Roman"/>
        </w:rPr>
        <w:t xml:space="preserve"> </w:t>
      </w:r>
      <w:r w:rsidRPr="004826D1">
        <w:rPr>
          <w:rFonts w:cs="Times New Roman"/>
        </w:rPr>
        <w:t>2020” mērķiem</w:t>
      </w:r>
      <w:r w:rsidR="003C3141" w:rsidRPr="004826D1">
        <w:rPr>
          <w:rFonts w:cs="Times New Roman"/>
        </w:rPr>
        <w:t>,</w:t>
      </w:r>
      <w:r w:rsidRPr="004826D1">
        <w:rPr>
          <w:rFonts w:cs="Times New Roman"/>
        </w:rPr>
        <w:t xml:space="preserve"> </w:t>
      </w:r>
      <w:r w:rsidR="003C3141" w:rsidRPr="004826D1">
        <w:rPr>
          <w:rFonts w:cs="Times New Roman"/>
        </w:rPr>
        <w:t>t</w:t>
      </w:r>
      <w:r w:rsidRPr="004826D1">
        <w:rPr>
          <w:rFonts w:cs="Times New Roman"/>
        </w:rPr>
        <w:t xml:space="preserve">urklāt </w:t>
      </w:r>
      <w:r w:rsidR="00294A1F" w:rsidRPr="004826D1">
        <w:rPr>
          <w:rFonts w:cs="Times New Roman"/>
        </w:rPr>
        <w:t>Plāna</w:t>
      </w:r>
      <w:r w:rsidR="003C3141" w:rsidRPr="004826D1">
        <w:rPr>
          <w:rFonts w:cs="Times New Roman"/>
        </w:rPr>
        <w:t xml:space="preserve"> </w:t>
      </w:r>
      <w:r w:rsidRPr="004826D1">
        <w:rPr>
          <w:rFonts w:cs="Times New Roman"/>
        </w:rPr>
        <w:t xml:space="preserve">īstenošanai ir jāsekmē </w:t>
      </w:r>
      <w:r w:rsidR="003C3141" w:rsidRPr="004826D1">
        <w:rPr>
          <w:rFonts w:cs="Times New Roman"/>
        </w:rPr>
        <w:t>divu</w:t>
      </w:r>
      <w:r w:rsidRPr="004826D1">
        <w:rPr>
          <w:rFonts w:cs="Times New Roman"/>
        </w:rPr>
        <w:t xml:space="preserve"> „horizontālo” mērķu sasniegšanu</w:t>
      </w:r>
      <w:r w:rsidR="003C3141" w:rsidRPr="004826D1">
        <w:rPr>
          <w:rFonts w:cs="Times New Roman"/>
        </w:rPr>
        <w:t>:</w:t>
      </w:r>
      <w:r w:rsidRPr="004826D1">
        <w:rPr>
          <w:rFonts w:cs="Times New Roman"/>
        </w:rPr>
        <w:t xml:space="preserve"> vide un klimata pārmaiņu mazināšana un pielāgošanās.</w:t>
      </w:r>
    </w:p>
    <w:p w14:paraId="7C4B9D9D" w14:textId="77777777" w:rsidR="0000653F" w:rsidRPr="004826D1" w:rsidRDefault="00EC5ADD" w:rsidP="0000653F">
      <w:pPr>
        <w:autoSpaceDE w:val="0"/>
        <w:autoSpaceDN w:val="0"/>
        <w:adjustRightInd w:val="0"/>
        <w:spacing w:after="120"/>
        <w:jc w:val="both"/>
        <w:rPr>
          <w:rFonts w:cs="Times New Roman"/>
          <w:szCs w:val="24"/>
          <w:lang w:eastAsia="lv-LV"/>
        </w:rPr>
      </w:pPr>
      <w:r w:rsidRPr="004826D1">
        <w:rPr>
          <w:rFonts w:cs="Times New Roman"/>
          <w:b/>
        </w:rPr>
        <w:t>Alternatīvu izvērtēšana</w:t>
      </w:r>
      <w:r w:rsidRPr="004826D1">
        <w:rPr>
          <w:rFonts w:cs="Times New Roman"/>
        </w:rPr>
        <w:t xml:space="preserve"> – nepieciešams izvērtēt, kā politikas plānošanas dokumentā paredzētās rīcības un to iespējamās alternatīvas ietekmēs vides resursus un to kvalitāti.</w:t>
      </w:r>
      <w:r w:rsidR="0000653F" w:rsidRPr="004826D1">
        <w:rPr>
          <w:rFonts w:cs="Times New Roman"/>
        </w:rPr>
        <w:t xml:space="preserve"> Tomēr, atšķirībā no paredzētajām darbībām, kam tiek veikts ietekmes uz vidi novērtējums, </w:t>
      </w:r>
      <w:r w:rsidR="00475F30" w:rsidRPr="004826D1">
        <w:rPr>
          <w:rFonts w:cs="Times New Roman"/>
        </w:rPr>
        <w:lastRenderedPageBreak/>
        <w:t xml:space="preserve">nacionāla mēroga nozaru plāniem netiek veidotas vairākas alternatīvas vienādā detalizācijas pakāpē: plāna piedāvājums ir viens konkrēts, un iespējami alternatīvi scenāriji, kopumā vai atsevišķos aspektos, tiek tikai ieskicēti, lai lieku reizi pārliecinātos, ka plānotāji </w:t>
      </w:r>
      <w:r w:rsidR="00876078" w:rsidRPr="004826D1">
        <w:rPr>
          <w:rFonts w:cs="Times New Roman"/>
        </w:rPr>
        <w:t>savu piedāvājumu ir kopumā veidojuši profesionāli, bet, iespējams, atklātu kādus konkrētus aspektus, kuros ar nelielām izmai</w:t>
      </w:r>
      <w:r w:rsidR="00A0003E" w:rsidRPr="004826D1">
        <w:rPr>
          <w:rFonts w:cs="Times New Roman"/>
        </w:rPr>
        <w:t>ņām var uzlabot ietekmi uz vidi, vai kādu darbību, kuras ieguvums neattaisno kaitējumu videi.</w:t>
      </w:r>
    </w:p>
    <w:p w14:paraId="7BEA98A0" w14:textId="77777777" w:rsidR="00EC5ADD" w:rsidRPr="004826D1" w:rsidRDefault="00EC5ADD" w:rsidP="00EC5ADD">
      <w:pPr>
        <w:spacing w:after="120"/>
        <w:jc w:val="both"/>
        <w:rPr>
          <w:rFonts w:cs="Times New Roman"/>
        </w:rPr>
      </w:pPr>
      <w:r w:rsidRPr="004826D1">
        <w:rPr>
          <w:rFonts w:cs="Times New Roman"/>
          <w:b/>
        </w:rPr>
        <w:t>Pārskatāmība</w:t>
      </w:r>
      <w:r w:rsidRPr="004826D1">
        <w:rPr>
          <w:rFonts w:cs="Times New Roman"/>
        </w:rPr>
        <w:t xml:space="preserve"> – SIVN ir atvērts un pārskatāms lēmumu pieņemšanas process, kas paredz interešu grupu un nevalstisko organizāciju iesaisti, balstās uz precīzi definētas metodoloģijas un lēmumu pieņemšanas mehānisma un sniedz pamatojumu novērtējumā iekļautajiem apgalvojumiem. SIVN pārskatāmību nodrošina arī Vides pārskata sabiedriskā apspriešana un tās rezultātu publiskošana.</w:t>
      </w:r>
    </w:p>
    <w:p w14:paraId="71EE376B" w14:textId="77777777" w:rsidR="00EC5ADD" w:rsidRPr="004826D1" w:rsidRDefault="00937AE5" w:rsidP="00EC5ADD">
      <w:pPr>
        <w:spacing w:after="120"/>
        <w:jc w:val="both"/>
        <w:rPr>
          <w:rFonts w:cs="Times New Roman"/>
        </w:rPr>
      </w:pPr>
      <w:r w:rsidRPr="004826D1">
        <w:rPr>
          <w:rFonts w:cs="Times New Roman"/>
        </w:rPr>
        <w:t>SIVN</w:t>
      </w:r>
      <w:r w:rsidR="00EC5ADD" w:rsidRPr="004826D1">
        <w:rPr>
          <w:rFonts w:cs="Times New Roman"/>
        </w:rPr>
        <w:t xml:space="preserve"> process kontekstā ar plānošanas </w:t>
      </w:r>
      <w:r w:rsidR="00602984">
        <w:rPr>
          <w:rFonts w:cs="Times New Roman"/>
        </w:rPr>
        <w:t>dokumenta izstrādi ir attēlots 4.1</w:t>
      </w:r>
      <w:r w:rsidR="00EC5ADD" w:rsidRPr="004826D1">
        <w:rPr>
          <w:rFonts w:cs="Times New Roman"/>
        </w:rPr>
        <w:t>.</w:t>
      </w:r>
      <w:r w:rsidR="00A9303A" w:rsidRPr="004826D1">
        <w:rPr>
          <w:rFonts w:cs="Times New Roman"/>
        </w:rPr>
        <w:t xml:space="preserve"> </w:t>
      </w:r>
      <w:r w:rsidR="00EC5ADD" w:rsidRPr="004826D1">
        <w:rPr>
          <w:rFonts w:cs="Times New Roman"/>
        </w:rPr>
        <w:t>attēlā.</w:t>
      </w:r>
    </w:p>
    <w:tbl>
      <w:tblPr>
        <w:tblW w:w="0" w:type="auto"/>
        <w:tblLook w:val="00A0" w:firstRow="1" w:lastRow="0" w:firstColumn="1" w:lastColumn="0" w:noHBand="0" w:noVBand="0"/>
      </w:tblPr>
      <w:tblGrid>
        <w:gridCol w:w="9287"/>
      </w:tblGrid>
      <w:tr w:rsidR="00EC5ADD" w:rsidRPr="004826D1" w14:paraId="20651557" w14:textId="77777777">
        <w:tc>
          <w:tcPr>
            <w:tcW w:w="9287" w:type="dxa"/>
          </w:tcPr>
          <w:p w14:paraId="5AD10978" w14:textId="3DFB0AAF" w:rsidR="00EC5ADD" w:rsidRPr="004826D1" w:rsidRDefault="000654E1" w:rsidP="00EC5ADD">
            <w:pPr>
              <w:spacing w:after="120"/>
              <w:rPr>
                <w:rFonts w:cs="Times New Roman"/>
              </w:rPr>
            </w:pPr>
            <w:r>
              <w:rPr>
                <w:rFonts w:cs="Times New Roman"/>
                <w:noProof/>
                <w:lang w:eastAsia="lv-LV"/>
              </w:rPr>
              <w:drawing>
                <wp:inline distT="0" distB="0" distL="0" distR="0" wp14:anchorId="1EFD8EEB" wp14:editId="71CC197F">
                  <wp:extent cx="5248275" cy="6457950"/>
                  <wp:effectExtent l="0" t="0" r="9525"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48275" cy="6457950"/>
                          </a:xfrm>
                          <a:prstGeom prst="rect">
                            <a:avLst/>
                          </a:prstGeom>
                          <a:noFill/>
                          <a:ln>
                            <a:noFill/>
                          </a:ln>
                        </pic:spPr>
                      </pic:pic>
                    </a:graphicData>
                  </a:graphic>
                </wp:inline>
              </w:drawing>
            </w:r>
          </w:p>
        </w:tc>
      </w:tr>
      <w:tr w:rsidR="00EC5ADD" w:rsidRPr="004826D1" w14:paraId="02D72077" w14:textId="77777777">
        <w:tc>
          <w:tcPr>
            <w:tcW w:w="9287" w:type="dxa"/>
          </w:tcPr>
          <w:p w14:paraId="60F06ECA" w14:textId="77777777" w:rsidR="00EC5ADD" w:rsidRPr="004826D1" w:rsidRDefault="00602984" w:rsidP="00715B7E">
            <w:pPr>
              <w:spacing w:after="120"/>
              <w:rPr>
                <w:rFonts w:cs="Times New Roman"/>
                <w:b/>
                <w:szCs w:val="24"/>
              </w:rPr>
            </w:pPr>
            <w:r>
              <w:rPr>
                <w:rFonts w:cs="Times New Roman"/>
                <w:b/>
                <w:szCs w:val="24"/>
              </w:rPr>
              <w:t>4.1</w:t>
            </w:r>
            <w:r w:rsidR="00715B7E" w:rsidRPr="004826D1">
              <w:rPr>
                <w:rFonts w:cs="Times New Roman"/>
                <w:b/>
                <w:szCs w:val="24"/>
              </w:rPr>
              <w:t>. </w:t>
            </w:r>
            <w:r w:rsidR="00EC5ADD" w:rsidRPr="004826D1">
              <w:rPr>
                <w:rFonts w:cs="Times New Roman"/>
                <w:b/>
                <w:szCs w:val="24"/>
              </w:rPr>
              <w:t xml:space="preserve">attēls. SIVN izstrādes shēma </w:t>
            </w:r>
            <w:r w:rsidR="00EC5ADD" w:rsidRPr="004826D1">
              <w:rPr>
                <w:rFonts w:cs="Times New Roman"/>
                <w:szCs w:val="24"/>
              </w:rPr>
              <w:t>(avots: www.vpvb.gov.lv)</w:t>
            </w:r>
          </w:p>
        </w:tc>
      </w:tr>
    </w:tbl>
    <w:p w14:paraId="120529FC" w14:textId="77777777" w:rsidR="00EC5ADD" w:rsidRPr="004826D1" w:rsidRDefault="00EC5ADD" w:rsidP="00EC5ADD">
      <w:pPr>
        <w:spacing w:after="120"/>
        <w:rPr>
          <w:rFonts w:cs="Times New Roman"/>
        </w:rPr>
      </w:pPr>
    </w:p>
    <w:p w14:paraId="6B28573A" w14:textId="77777777" w:rsidR="00D0627C" w:rsidRPr="004826D1" w:rsidRDefault="00D0627C" w:rsidP="00D0627C">
      <w:pPr>
        <w:spacing w:after="120"/>
        <w:jc w:val="both"/>
      </w:pPr>
      <w:r w:rsidRPr="004826D1">
        <w:t>Plāna stratēģiskais ietekmes uz vidi novērtējums tiek veikts, lai novērtētu vai samazinātu plānošanas dokumenta iespējamo nelabvēlīgo ietekmi uz vidi, kā arī plānošanas dokumenta īstenošanas laikā izraisītās pārmaiņas vidē. SIVN procesa vispārīgie uzdevumi ir:</w:t>
      </w:r>
    </w:p>
    <w:p w14:paraId="05A74323" w14:textId="77777777" w:rsidR="00D0627C" w:rsidRPr="004826D1" w:rsidRDefault="00D0627C" w:rsidP="00D0627C">
      <w:pPr>
        <w:spacing w:after="120"/>
        <w:ind w:left="720"/>
        <w:jc w:val="both"/>
      </w:pPr>
      <w:r w:rsidRPr="004826D1">
        <w:t>- novērtēt vides sākumstāvokli;</w:t>
      </w:r>
    </w:p>
    <w:p w14:paraId="7CC73AF3" w14:textId="77777777" w:rsidR="00D0627C" w:rsidRPr="004826D1" w:rsidRDefault="00D0627C" w:rsidP="00D0627C">
      <w:pPr>
        <w:spacing w:after="120"/>
        <w:ind w:left="720"/>
        <w:jc w:val="both"/>
      </w:pPr>
      <w:r w:rsidRPr="004826D1">
        <w:t>- sniegt informāciju lēmumu pieņēmējiem;</w:t>
      </w:r>
    </w:p>
    <w:p w14:paraId="022D870C" w14:textId="77777777" w:rsidR="00D0627C" w:rsidRPr="004826D1" w:rsidRDefault="00D0627C" w:rsidP="00D0627C">
      <w:pPr>
        <w:spacing w:after="120"/>
        <w:ind w:left="720"/>
        <w:jc w:val="both"/>
      </w:pPr>
      <w:r w:rsidRPr="004826D1">
        <w:t>- informēt sabiedrību par sagaidāmo ietekmi uz vidi dokumenta ieviešanas gadījumā;</w:t>
      </w:r>
    </w:p>
    <w:p w14:paraId="27A29A1F" w14:textId="77777777" w:rsidR="00D0627C" w:rsidRPr="004826D1" w:rsidRDefault="00D0627C" w:rsidP="00D0627C">
      <w:pPr>
        <w:spacing w:after="120"/>
        <w:ind w:left="720"/>
        <w:jc w:val="both"/>
      </w:pPr>
      <w:r w:rsidRPr="004826D1">
        <w:t xml:space="preserve"> -iesaistīt sabiedrību plānošanas procesā.</w:t>
      </w:r>
    </w:p>
    <w:p w14:paraId="23FF6B09" w14:textId="77777777" w:rsidR="00D0627C" w:rsidRPr="004826D1" w:rsidRDefault="00D0627C" w:rsidP="00D0627C">
      <w:pPr>
        <w:jc w:val="both"/>
      </w:pPr>
      <w:r w:rsidRPr="004826D1">
        <w:t xml:space="preserve">Likumdošanas prasības paredz SIVN procesa ietvaros sagatavot Vides pārskatu, kurā raksturotas konkrētā dokumenta būtiskās ietekmes uz vidi. Tas ir īpaši nepieciešams dokumentiem, kuri var būtiski ietekmēt Eiropas nozīmes </w:t>
      </w:r>
      <w:r w:rsidR="001136FC" w:rsidRPr="004826D1">
        <w:t xml:space="preserve">īpaši aizsargājamās </w:t>
      </w:r>
      <w:r w:rsidRPr="004826D1">
        <w:t>dabas teritorij</w:t>
      </w:r>
      <w:r w:rsidR="001136FC" w:rsidRPr="004826D1">
        <w:t>as</w:t>
      </w:r>
      <w:r w:rsidRPr="004826D1">
        <w:t xml:space="preserve"> (Natura 2000), kas lielā mērā attiecas arī uz Plānu. SIVN procesā ir svarīgi stratēģiski identificēt ietekmi uz vidi un dabas resursiem, kas saistīti ar Plāna īstenošanu.</w:t>
      </w:r>
    </w:p>
    <w:p w14:paraId="18BA0599" w14:textId="77777777" w:rsidR="00D0627C" w:rsidRPr="004826D1" w:rsidRDefault="00D0627C" w:rsidP="00D0627C">
      <w:pPr>
        <w:jc w:val="both"/>
      </w:pPr>
    </w:p>
    <w:p w14:paraId="33758371" w14:textId="77777777" w:rsidR="00D0627C" w:rsidRPr="004826D1" w:rsidRDefault="00D0627C" w:rsidP="00D0627C">
      <w:pPr>
        <w:jc w:val="both"/>
      </w:pPr>
      <w:r w:rsidRPr="004826D1">
        <w:t>SIVN procesā ir izmantota metodika, kas balstīta uz atbilstības izvērtējumu vides aizsardzības un ilgtspējīgas attīstības principiem, mērķu un uzdevumu un kvalitatīvu ietekmju vērtējumu. Rīcības programmas vērtēšanā tika izmantoti vides aizsardzības un ilgtspējīgas attīstības principi, kā arī koncepcija par dabas kapitālu kā vienu no sabiedrības vērtībām.</w:t>
      </w:r>
    </w:p>
    <w:p w14:paraId="3E405D1E" w14:textId="77777777" w:rsidR="00D0627C" w:rsidRPr="004826D1" w:rsidRDefault="00D0627C" w:rsidP="00EC5ADD">
      <w:pPr>
        <w:spacing w:after="120"/>
        <w:jc w:val="both"/>
        <w:rPr>
          <w:rFonts w:cs="Times New Roman"/>
        </w:rPr>
      </w:pPr>
    </w:p>
    <w:p w14:paraId="46412449" w14:textId="77777777" w:rsidR="00EC5ADD" w:rsidRPr="004826D1" w:rsidRDefault="00EC5ADD" w:rsidP="00EC5ADD">
      <w:pPr>
        <w:spacing w:after="120"/>
        <w:jc w:val="both"/>
        <w:rPr>
          <w:rFonts w:cs="Times New Roman"/>
        </w:rPr>
      </w:pPr>
      <w:r w:rsidRPr="004826D1">
        <w:rPr>
          <w:rFonts w:cs="Times New Roman"/>
        </w:rPr>
        <w:t>Vides pārskata sagatavošanā var izdalīt šādus būtiskākos etapus:</w:t>
      </w:r>
    </w:p>
    <w:p w14:paraId="4C19DCEF" w14:textId="77777777" w:rsidR="00EC5ADD" w:rsidRPr="004826D1" w:rsidRDefault="00294A1F" w:rsidP="002E314F">
      <w:pPr>
        <w:pStyle w:val="ListParagraph1"/>
        <w:numPr>
          <w:ilvl w:val="0"/>
          <w:numId w:val="2"/>
        </w:numPr>
        <w:spacing w:after="120"/>
        <w:jc w:val="both"/>
        <w:rPr>
          <w:rFonts w:cs="Times New Roman"/>
          <w:i/>
          <w:sz w:val="24"/>
          <w:szCs w:val="24"/>
        </w:rPr>
      </w:pPr>
      <w:r w:rsidRPr="004826D1">
        <w:rPr>
          <w:rFonts w:cs="Times New Roman"/>
          <w:i/>
          <w:sz w:val="24"/>
          <w:szCs w:val="24"/>
        </w:rPr>
        <w:t>Plāna</w:t>
      </w:r>
      <w:r w:rsidR="00EC5ADD" w:rsidRPr="004826D1">
        <w:rPr>
          <w:rFonts w:cs="Times New Roman"/>
          <w:i/>
          <w:sz w:val="24"/>
          <w:szCs w:val="24"/>
        </w:rPr>
        <w:t xml:space="preserve"> sasaiste ar citiem plānošanas dokumentiem un atbilstība likumdošanas prasībām</w:t>
      </w:r>
    </w:p>
    <w:p w14:paraId="173DA38E" w14:textId="77777777" w:rsidR="00EC5ADD" w:rsidRPr="004826D1" w:rsidRDefault="00EC5ADD" w:rsidP="00EC5ADD">
      <w:pPr>
        <w:spacing w:after="120"/>
        <w:jc w:val="both"/>
        <w:rPr>
          <w:rFonts w:cs="Times New Roman"/>
        </w:rPr>
      </w:pPr>
      <w:r w:rsidRPr="004826D1">
        <w:rPr>
          <w:rFonts w:cs="Times New Roman"/>
        </w:rPr>
        <w:t xml:space="preserve">Īstenojot </w:t>
      </w:r>
      <w:r w:rsidR="00294A1F" w:rsidRPr="004826D1">
        <w:rPr>
          <w:rFonts w:cs="Times New Roman"/>
        </w:rPr>
        <w:t>Plānu,</w:t>
      </w:r>
      <w:r w:rsidRPr="004826D1">
        <w:rPr>
          <w:rFonts w:cs="Times New Roman"/>
        </w:rPr>
        <w:t xml:space="preserve"> ir svarīgi, lai tiktu ievērotas arī citos plānošanas dokumentos izvirzītās prioritātes un plānotie pasākumi, tādējādi nodrošinot nepieciešamo sinerģiju. Plānotajām aktivitātēm jāatbilst normatīvajos aktos noteiktajām prasībām. Cita starpā, īpaša uzmanība tiks pievērsta </w:t>
      </w:r>
      <w:r w:rsidR="00294A1F" w:rsidRPr="004826D1">
        <w:rPr>
          <w:rFonts w:cs="Times New Roman"/>
        </w:rPr>
        <w:t>Plāna</w:t>
      </w:r>
      <w:r w:rsidRPr="004826D1">
        <w:rPr>
          <w:rFonts w:cs="Times New Roman"/>
        </w:rPr>
        <w:t xml:space="preserve"> atbilstībai starptautiska, ES un nacionālā līmeņa politikas dokumentiem bioloģiskās daudzveidības, Natura 2000 un klimata pārmaiņu jomās.</w:t>
      </w:r>
    </w:p>
    <w:p w14:paraId="32B83330" w14:textId="77777777" w:rsidR="00EC5ADD" w:rsidRPr="004826D1" w:rsidRDefault="00EC5ADD" w:rsidP="002E314F">
      <w:pPr>
        <w:pStyle w:val="ListParagraph1"/>
        <w:numPr>
          <w:ilvl w:val="0"/>
          <w:numId w:val="2"/>
        </w:numPr>
        <w:spacing w:after="120"/>
        <w:jc w:val="both"/>
        <w:rPr>
          <w:rFonts w:cs="Times New Roman"/>
          <w:i/>
          <w:sz w:val="24"/>
          <w:szCs w:val="24"/>
        </w:rPr>
      </w:pPr>
      <w:r w:rsidRPr="004826D1">
        <w:rPr>
          <w:rFonts w:cs="Times New Roman"/>
          <w:i/>
          <w:sz w:val="24"/>
          <w:szCs w:val="24"/>
        </w:rPr>
        <w:t>Pašreizējās situācijas novērtējums un „nulles” scenārijs</w:t>
      </w:r>
    </w:p>
    <w:p w14:paraId="5F907F8B" w14:textId="77777777" w:rsidR="00EC5ADD" w:rsidRPr="004826D1" w:rsidRDefault="00EC5ADD" w:rsidP="00EC5ADD">
      <w:pPr>
        <w:spacing w:after="120"/>
        <w:jc w:val="both"/>
        <w:rPr>
          <w:rFonts w:cs="Times New Roman"/>
        </w:rPr>
      </w:pPr>
      <w:r w:rsidRPr="004826D1">
        <w:rPr>
          <w:rFonts w:cs="Times New Roman"/>
        </w:rPr>
        <w:t xml:space="preserve">Vide sevī ietver loti plašu jautājumu loku, tādēļ noteiktas tās galvenās jomas, kuras </w:t>
      </w:r>
      <w:r w:rsidR="00294A1F" w:rsidRPr="004826D1">
        <w:rPr>
          <w:rFonts w:cs="Times New Roman"/>
        </w:rPr>
        <w:t>Plāna</w:t>
      </w:r>
      <w:r w:rsidRPr="004826D1">
        <w:rPr>
          <w:rFonts w:cs="Times New Roman"/>
        </w:rPr>
        <w:t xml:space="preserve"> kontekstā ir nozīmīgākās un kurām ir būtiskākā ietekme uz vidi. Apkopota pieejamā pamatinformācija par vides stāvokli Latvijā, tādējādi veicot sākotnējo novērtējumu un identificējot būtiskos vides aspektus, kas saistīti ar plānošanas dokumentu. Raksturojot Latvijas dabas resursus un vērtības galvenajās ekosistēmu grupās, vides kvalitāti un antropogēnās slodzes, sniegts arī vērtējums par to, kādas ir iespējamās izmaiņas, ja </w:t>
      </w:r>
      <w:r w:rsidR="00294A1F" w:rsidRPr="004826D1">
        <w:rPr>
          <w:rFonts w:cs="Times New Roman"/>
        </w:rPr>
        <w:t>Plāns</w:t>
      </w:r>
      <w:r w:rsidRPr="004826D1">
        <w:rPr>
          <w:rFonts w:cs="Times New Roman"/>
        </w:rPr>
        <w:t xml:space="preserve"> netiktu īstenot</w:t>
      </w:r>
      <w:r w:rsidR="00294A1F" w:rsidRPr="004826D1">
        <w:rPr>
          <w:rFonts w:cs="Times New Roman"/>
        </w:rPr>
        <w:t>s</w:t>
      </w:r>
      <w:r w:rsidRPr="004826D1">
        <w:rPr>
          <w:rFonts w:cs="Times New Roman"/>
        </w:rPr>
        <w:t xml:space="preserve"> jeb t.s. „nulles” scenārijs. Šis vērtējums veidots kā ekspertu vērtējums, ņemot vērā gan līdzšinējās attīstības tendences, gan sagaidāmās izmaiņas.</w:t>
      </w:r>
    </w:p>
    <w:p w14:paraId="4579DFCC" w14:textId="77777777" w:rsidR="00EC5ADD" w:rsidRPr="004826D1" w:rsidRDefault="00294A1F" w:rsidP="002E314F">
      <w:pPr>
        <w:pStyle w:val="ListParagraph1"/>
        <w:numPr>
          <w:ilvl w:val="0"/>
          <w:numId w:val="2"/>
        </w:numPr>
        <w:spacing w:after="120"/>
        <w:jc w:val="both"/>
        <w:rPr>
          <w:rFonts w:cs="Times New Roman"/>
          <w:i/>
          <w:sz w:val="24"/>
          <w:szCs w:val="24"/>
        </w:rPr>
      </w:pPr>
      <w:r w:rsidRPr="004826D1">
        <w:rPr>
          <w:rFonts w:cs="Times New Roman"/>
          <w:i/>
          <w:sz w:val="24"/>
          <w:szCs w:val="24"/>
        </w:rPr>
        <w:t>Plāna</w:t>
      </w:r>
      <w:r w:rsidR="00EC5ADD" w:rsidRPr="004826D1">
        <w:rPr>
          <w:rFonts w:cs="Times New Roman"/>
          <w:i/>
          <w:sz w:val="24"/>
          <w:szCs w:val="24"/>
        </w:rPr>
        <w:t xml:space="preserve"> īstenošanas būtiskāko ietekmju uz vidi vērtējums</w:t>
      </w:r>
    </w:p>
    <w:p w14:paraId="6F8B68F4" w14:textId="77777777" w:rsidR="00EC5ADD" w:rsidRPr="004826D1" w:rsidRDefault="00EC5ADD" w:rsidP="00EC5ADD">
      <w:pPr>
        <w:spacing w:after="120"/>
        <w:jc w:val="both"/>
        <w:rPr>
          <w:rFonts w:cs="Times New Roman"/>
        </w:rPr>
      </w:pPr>
      <w:r w:rsidRPr="004826D1">
        <w:rPr>
          <w:rFonts w:cs="Times New Roman"/>
        </w:rPr>
        <w:t xml:space="preserve">SIVN process organizēts tā, lai identificētu </w:t>
      </w:r>
      <w:r w:rsidR="00294A1F" w:rsidRPr="004826D1">
        <w:rPr>
          <w:rFonts w:cs="Times New Roman"/>
        </w:rPr>
        <w:t xml:space="preserve">Plānā </w:t>
      </w:r>
      <w:r w:rsidRPr="004826D1">
        <w:rPr>
          <w:rFonts w:cs="Times New Roman"/>
        </w:rPr>
        <w:t>ietverto pasākumu īstenošanas būtiskās ietekmes uz vidi (ietver tiešo un netiešo, sekundāro, paredzētās darbības un citu darbību savstarpējo un kopējo ietekmi, īstermiņa, vidēji ilgu un ilglaicīgu ietekmi, kā arī pastāvīgo pozitīvo un negatīvo ietekmi). SIVN ietvaros vērtēta plānošanas dokumenta īstenošanas iespējamā ietekme uz šādām vides jomām:</w:t>
      </w:r>
    </w:p>
    <w:p w14:paraId="52463C4B" w14:textId="77777777" w:rsidR="00EC5ADD" w:rsidRPr="004826D1" w:rsidRDefault="00EC5ADD" w:rsidP="002E314F">
      <w:pPr>
        <w:pStyle w:val="ListParagraph1"/>
        <w:numPr>
          <w:ilvl w:val="1"/>
          <w:numId w:val="2"/>
        </w:numPr>
        <w:spacing w:after="120"/>
        <w:jc w:val="both"/>
        <w:rPr>
          <w:rFonts w:cs="Times New Roman"/>
          <w:sz w:val="24"/>
          <w:szCs w:val="24"/>
        </w:rPr>
      </w:pPr>
      <w:r w:rsidRPr="004826D1">
        <w:rPr>
          <w:rFonts w:cs="Times New Roman"/>
          <w:sz w:val="24"/>
          <w:szCs w:val="24"/>
        </w:rPr>
        <w:t>bioloģiskā daudzveidība, ietekme uz Natura 2000 teritorijām, flora, fauna, augsne, ūdens, gaiss, klimatiskie faktori;</w:t>
      </w:r>
    </w:p>
    <w:p w14:paraId="6B83F990" w14:textId="77777777" w:rsidR="00EC5ADD" w:rsidRPr="004826D1" w:rsidRDefault="00EC5ADD" w:rsidP="002E314F">
      <w:pPr>
        <w:pStyle w:val="ListParagraph1"/>
        <w:numPr>
          <w:ilvl w:val="1"/>
          <w:numId w:val="2"/>
        </w:numPr>
        <w:spacing w:after="120"/>
        <w:jc w:val="both"/>
        <w:rPr>
          <w:rFonts w:cs="Times New Roman"/>
          <w:sz w:val="24"/>
          <w:szCs w:val="24"/>
        </w:rPr>
      </w:pPr>
      <w:r w:rsidRPr="004826D1">
        <w:rPr>
          <w:rFonts w:cs="Times New Roman"/>
          <w:sz w:val="24"/>
          <w:szCs w:val="24"/>
        </w:rPr>
        <w:t>iedzīvotāji, iedzīvotāju veselība, materiālās vērtības, kultūras (ieskaitot arhitektūras un arheoloģiskais) mantojums, ainavas;</w:t>
      </w:r>
    </w:p>
    <w:p w14:paraId="4109EDDE" w14:textId="77777777" w:rsidR="00EC5ADD" w:rsidRPr="004826D1" w:rsidRDefault="00EC5ADD" w:rsidP="002E314F">
      <w:pPr>
        <w:pStyle w:val="ListParagraph1"/>
        <w:numPr>
          <w:ilvl w:val="1"/>
          <w:numId w:val="2"/>
        </w:numPr>
        <w:spacing w:after="120"/>
        <w:jc w:val="both"/>
        <w:rPr>
          <w:rFonts w:cs="Times New Roman"/>
          <w:sz w:val="24"/>
          <w:szCs w:val="24"/>
        </w:rPr>
      </w:pPr>
      <w:r w:rsidRPr="004826D1">
        <w:rPr>
          <w:sz w:val="24"/>
          <w:szCs w:val="24"/>
        </w:rPr>
        <w:lastRenderedPageBreak/>
        <w:t>saistība starp šīm jomām.</w:t>
      </w:r>
    </w:p>
    <w:p w14:paraId="34F72E7F" w14:textId="77777777" w:rsidR="00EC5ADD" w:rsidRPr="004826D1" w:rsidRDefault="00EC5ADD" w:rsidP="00EC5ADD">
      <w:pPr>
        <w:spacing w:after="120"/>
        <w:jc w:val="both"/>
        <w:rPr>
          <w:rFonts w:cs="Times New Roman"/>
        </w:rPr>
      </w:pPr>
      <w:r w:rsidRPr="004826D1">
        <w:rPr>
          <w:rFonts w:cs="Times New Roman"/>
        </w:rPr>
        <w:t xml:space="preserve">Tiek izmantota informācija, ko sniedz nulles scenārijs, kā arī ietekmes tiek prognozētas. SIVN iespēju robežās tiek arī sniegti priekšlikumi, kādu pasākumu iekļaušana no vides viedokļa būtu nozīmīga un kādi pasākumi būtu maināmi vai izslēdzami no </w:t>
      </w:r>
      <w:r w:rsidR="00294A1F" w:rsidRPr="004826D1">
        <w:rPr>
          <w:rFonts w:cs="Times New Roman"/>
        </w:rPr>
        <w:t>Plāna</w:t>
      </w:r>
      <w:r w:rsidRPr="004826D1">
        <w:rPr>
          <w:rFonts w:cs="Times New Roman"/>
        </w:rPr>
        <w:t>.</w:t>
      </w:r>
    </w:p>
    <w:p w14:paraId="09BF979B" w14:textId="77777777" w:rsidR="00EC5ADD" w:rsidRPr="004826D1" w:rsidRDefault="00294A1F" w:rsidP="002E314F">
      <w:pPr>
        <w:pStyle w:val="ListParagraph1"/>
        <w:numPr>
          <w:ilvl w:val="0"/>
          <w:numId w:val="2"/>
        </w:numPr>
        <w:spacing w:after="120"/>
        <w:jc w:val="both"/>
        <w:rPr>
          <w:rFonts w:cs="Times New Roman"/>
          <w:i/>
          <w:sz w:val="24"/>
          <w:szCs w:val="24"/>
        </w:rPr>
      </w:pPr>
      <w:r w:rsidRPr="004826D1">
        <w:rPr>
          <w:rFonts w:cs="Times New Roman"/>
          <w:i/>
          <w:sz w:val="24"/>
          <w:szCs w:val="24"/>
        </w:rPr>
        <w:t>Plāna</w:t>
      </w:r>
      <w:r w:rsidR="00EC5ADD" w:rsidRPr="004826D1">
        <w:rPr>
          <w:rFonts w:cs="Times New Roman"/>
          <w:i/>
          <w:sz w:val="24"/>
          <w:szCs w:val="24"/>
        </w:rPr>
        <w:t xml:space="preserve"> monitorings</w:t>
      </w:r>
    </w:p>
    <w:p w14:paraId="1627C424" w14:textId="77777777" w:rsidR="00EC5ADD" w:rsidRPr="004826D1" w:rsidRDefault="00EC5ADD" w:rsidP="00EC5ADD">
      <w:pPr>
        <w:spacing w:after="120"/>
        <w:jc w:val="both"/>
        <w:rPr>
          <w:rFonts w:cs="Times New Roman"/>
        </w:rPr>
      </w:pPr>
      <w:r w:rsidRPr="004826D1">
        <w:rPr>
          <w:rFonts w:cs="Times New Roman"/>
        </w:rPr>
        <w:t xml:space="preserve">Plānošanas dokumenta ietekmju uz vidi monitoringu veic, lai konstatētu, kādas ir ar plānošanas dokumenta realizāciju saistītās vides ietekmes, t.sk. arī neparedzētās ietekmes un vai plānošanas dokumentā nav jāveic grozījumi. Sniedzot priekšlikumus rādītājiem un plānošanas dokumenta ieviešanas monitoringam, izvelēti tādi rādītāji, kuri jau tiek aprēķināti vai kuru aprēķināšanai tiek sistemātiski apkopota bāzes informācija. Sagatavojot priekšlikumus </w:t>
      </w:r>
      <w:r w:rsidR="00294A1F" w:rsidRPr="004826D1">
        <w:rPr>
          <w:rFonts w:cs="Times New Roman"/>
        </w:rPr>
        <w:t>Plāna</w:t>
      </w:r>
      <w:r w:rsidRPr="004826D1">
        <w:rPr>
          <w:rFonts w:cs="Times New Roman"/>
        </w:rPr>
        <w:t xml:space="preserve"> īstenošanas monitoringa pasākumiem un monitoringa pārskatam, ņemta vērā esošā valsts vides monitoringa tīklā veikto novērojumu un informācijas pieejamība, kā arī vērtēta </w:t>
      </w:r>
      <w:r w:rsidR="00294A1F" w:rsidRPr="004826D1">
        <w:rPr>
          <w:rFonts w:cs="Times New Roman"/>
        </w:rPr>
        <w:t xml:space="preserve">Plāna </w:t>
      </w:r>
      <w:r w:rsidRPr="004826D1">
        <w:rPr>
          <w:rFonts w:cs="Times New Roman"/>
        </w:rPr>
        <w:t>ieviešanas un monitoringa plāna atbilstība vides monitoringa veikšanai.</w:t>
      </w:r>
    </w:p>
    <w:p w14:paraId="0E9C60B7" w14:textId="77777777" w:rsidR="00EC5ADD" w:rsidRPr="004826D1" w:rsidRDefault="00EC5ADD" w:rsidP="00EC5ADD">
      <w:pPr>
        <w:spacing w:after="120"/>
        <w:jc w:val="both"/>
        <w:rPr>
          <w:rFonts w:cs="Times New Roman"/>
          <w:i/>
        </w:rPr>
      </w:pPr>
      <w:r w:rsidRPr="004826D1">
        <w:rPr>
          <w:rFonts w:cs="Times New Roman"/>
          <w:i/>
        </w:rPr>
        <w:t>3. Konsultācijas un sabiedrības iesaiste</w:t>
      </w:r>
    </w:p>
    <w:p w14:paraId="2036F279" w14:textId="77777777" w:rsidR="00EC5ADD" w:rsidRPr="004826D1" w:rsidRDefault="00EC5ADD" w:rsidP="00EC5ADD">
      <w:pPr>
        <w:spacing w:after="120"/>
        <w:jc w:val="both"/>
        <w:rPr>
          <w:rFonts w:cs="Times New Roman"/>
        </w:rPr>
      </w:pPr>
      <w:r w:rsidRPr="004826D1">
        <w:rPr>
          <w:rFonts w:cs="Times New Roman"/>
        </w:rPr>
        <w:t>Konsultācijām ir svarīga loma SIVN. To realizācijas kartību nosaka likums „Par ietekmes uz vidi novērtējumu”. Šis process ietver kompetento institūciju un sabiedrības informēšanu, dodot iespēju komentēt novērtējumu dažādos SIVN posmos. Kad plānošanas dokuments ir pieņemts, sabiedrība un kompetentās institūcijas jāinformē arī par plānošanas dokumenta pieņemšanu.</w:t>
      </w:r>
    </w:p>
    <w:p w14:paraId="7700C2F4" w14:textId="77777777" w:rsidR="004404E6" w:rsidRPr="004826D1" w:rsidRDefault="004404E6" w:rsidP="00CE2569">
      <w:pPr>
        <w:jc w:val="both"/>
      </w:pPr>
    </w:p>
    <w:p w14:paraId="7343F0EA" w14:textId="77777777" w:rsidR="00240AC1" w:rsidRPr="004826D1" w:rsidRDefault="00240AC1" w:rsidP="00DF61DF"/>
    <w:p w14:paraId="107E3EF7" w14:textId="77777777" w:rsidR="008910CD" w:rsidRPr="004826D1" w:rsidRDefault="008910CD" w:rsidP="008910CD">
      <w:pPr>
        <w:pStyle w:val="Heading2"/>
        <w:jc w:val="both"/>
        <w:rPr>
          <w:rFonts w:ascii="Times New Roman" w:hAnsi="Times New Roman"/>
          <w:lang w:val="lv-LV"/>
        </w:rPr>
      </w:pPr>
      <w:bookmarkStart w:id="205" w:name="_Toc169602276"/>
      <w:r w:rsidRPr="004826D1">
        <w:rPr>
          <w:rFonts w:ascii="Times New Roman" w:hAnsi="Times New Roman"/>
          <w:lang w:val="lv-LV"/>
        </w:rPr>
        <w:t>4.</w:t>
      </w:r>
      <w:r w:rsidR="00602984">
        <w:rPr>
          <w:rFonts w:ascii="Times New Roman" w:hAnsi="Times New Roman"/>
          <w:lang w:val="lv-LV"/>
        </w:rPr>
        <w:t>2</w:t>
      </w:r>
      <w:r w:rsidRPr="004826D1">
        <w:rPr>
          <w:rFonts w:ascii="Times New Roman" w:hAnsi="Times New Roman"/>
          <w:lang w:val="lv-LV"/>
        </w:rPr>
        <w:t xml:space="preserve"> Vērtētās ietekmes un vērtēšanas metodika</w:t>
      </w:r>
      <w:bookmarkEnd w:id="205"/>
    </w:p>
    <w:p w14:paraId="56424A3E" w14:textId="77777777" w:rsidR="008910CD" w:rsidRPr="004826D1" w:rsidRDefault="008910CD" w:rsidP="004519D3">
      <w:pPr>
        <w:pStyle w:val="CommentText"/>
        <w:jc w:val="both"/>
        <w:rPr>
          <w:lang w:val="lv-LV"/>
        </w:rPr>
      </w:pPr>
    </w:p>
    <w:p w14:paraId="4827156C" w14:textId="77777777" w:rsidR="008910CD" w:rsidRPr="004826D1" w:rsidRDefault="008910CD" w:rsidP="008E72C9">
      <w:pPr>
        <w:pStyle w:val="Pamatteksts1"/>
        <w:ind w:firstLine="0"/>
        <w:rPr>
          <w:szCs w:val="23"/>
        </w:rPr>
      </w:pPr>
      <w:r w:rsidRPr="004826D1">
        <w:rPr>
          <w:szCs w:val="23"/>
        </w:rPr>
        <w:t>Vērtējamās ietekmes uz vidi šajā SIVN aptver ietekmi uz dabas vidi un ietekmi uz cilvēkvidi.</w:t>
      </w:r>
    </w:p>
    <w:p w14:paraId="1E6DB577" w14:textId="77777777" w:rsidR="008910CD" w:rsidRPr="004826D1" w:rsidRDefault="003C73F9" w:rsidP="002A6F85">
      <w:pPr>
        <w:pStyle w:val="Pamatteksts1"/>
        <w:ind w:firstLine="0"/>
        <w:rPr>
          <w:szCs w:val="23"/>
        </w:rPr>
      </w:pPr>
      <w:r w:rsidRPr="004826D1">
        <w:rPr>
          <w:szCs w:val="23"/>
        </w:rPr>
        <w:t>4</w:t>
      </w:r>
      <w:r w:rsidR="008910CD" w:rsidRPr="004826D1">
        <w:rPr>
          <w:szCs w:val="23"/>
        </w:rPr>
        <w:t>.</w:t>
      </w:r>
      <w:r w:rsidR="0070710F" w:rsidRPr="004826D1">
        <w:rPr>
          <w:szCs w:val="23"/>
        </w:rPr>
        <w:t> </w:t>
      </w:r>
      <w:r w:rsidR="008910CD" w:rsidRPr="004826D1">
        <w:rPr>
          <w:szCs w:val="23"/>
        </w:rPr>
        <w:t xml:space="preserve">tabulā </w:t>
      </w:r>
      <w:r w:rsidR="005C7C24" w:rsidRPr="004826D1">
        <w:rPr>
          <w:szCs w:val="23"/>
        </w:rPr>
        <w:t xml:space="preserve">nodaļas beigās ir </w:t>
      </w:r>
      <w:r w:rsidR="008910CD" w:rsidRPr="004826D1">
        <w:rPr>
          <w:szCs w:val="23"/>
        </w:rPr>
        <w:t>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71D758EA" w14:textId="77777777" w:rsidR="008E72C9" w:rsidRPr="004826D1" w:rsidRDefault="008E72C9" w:rsidP="00B71100">
      <w:pPr>
        <w:pStyle w:val="Pamatteksts1"/>
        <w:ind w:firstLine="0"/>
      </w:pPr>
      <w:r w:rsidRPr="004826D1">
        <w:t xml:space="preserve">Ietekmes novērtēšanai un alternatīvu salīdzināšanai šajā SIVN tika izmantota daudzkritēriju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w:t>
      </w:r>
      <w:r w:rsidR="00981103" w:rsidRPr="004826D1">
        <w:t xml:space="preserve">Tā </w:t>
      </w:r>
      <w:r w:rsidRPr="004826D1">
        <w:t>ir atklāta (pieejama visiem), nodrošina komunikāciju ar lēmumu pieņēmējiem un plašu sabiedrības loku.</w:t>
      </w:r>
    </w:p>
    <w:p w14:paraId="6D7AFC2C" w14:textId="77777777" w:rsidR="008E72C9" w:rsidRPr="004826D1" w:rsidRDefault="008E72C9" w:rsidP="00B71100">
      <w:pPr>
        <w:pStyle w:val="Pamatteksts1"/>
        <w:ind w:firstLine="0"/>
      </w:pPr>
      <w:r w:rsidRPr="004826D1">
        <w:t>Daudzkritēriju analīzē pēc dažādiem kritērijiem novērtē un salīdzina alternatīvās izvēles. Daudzkritēriju analīzes posmi:</w:t>
      </w:r>
    </w:p>
    <w:p w14:paraId="222904DE" w14:textId="77777777" w:rsidR="008E72C9" w:rsidRPr="004826D1" w:rsidRDefault="008E72C9" w:rsidP="00336DC4">
      <w:pPr>
        <w:pStyle w:val="Pamatteksts1"/>
        <w:numPr>
          <w:ilvl w:val="0"/>
          <w:numId w:val="7"/>
        </w:numPr>
      </w:pPr>
      <w:r w:rsidRPr="004826D1">
        <w:t>Identificēt un izvērtēt kritērijus, ņemot vērā šādus aspektus:</w:t>
      </w:r>
    </w:p>
    <w:p w14:paraId="1AAC8D3F" w14:textId="77777777" w:rsidR="008E72C9" w:rsidRPr="004826D1" w:rsidRDefault="008E72C9" w:rsidP="00336DC4">
      <w:pPr>
        <w:pStyle w:val="Pamatteksts1"/>
        <w:numPr>
          <w:ilvl w:val="1"/>
          <w:numId w:val="8"/>
        </w:numPr>
      </w:pPr>
      <w:r w:rsidRPr="004826D1">
        <w:t>kritēriju kopums ir pilnīgs – neiztrūkst būtiski kritēriji;</w:t>
      </w:r>
    </w:p>
    <w:p w14:paraId="68B36022" w14:textId="77777777" w:rsidR="008E72C9" w:rsidRPr="004826D1" w:rsidRDefault="008E72C9" w:rsidP="00336DC4">
      <w:pPr>
        <w:pStyle w:val="Pamatteksts1"/>
        <w:numPr>
          <w:ilvl w:val="1"/>
          <w:numId w:val="8"/>
        </w:numPr>
      </w:pPr>
      <w:r w:rsidRPr="004826D1">
        <w:t>kritēriji ir novērtējami (jābūt iespējai novērtēt vismaz kvalitatīvi);</w:t>
      </w:r>
    </w:p>
    <w:p w14:paraId="447BE5AC" w14:textId="77777777" w:rsidR="008E72C9" w:rsidRPr="004826D1" w:rsidRDefault="008E72C9" w:rsidP="00336DC4">
      <w:pPr>
        <w:pStyle w:val="Pamatteksts1"/>
        <w:numPr>
          <w:ilvl w:val="1"/>
          <w:numId w:val="8"/>
        </w:numPr>
      </w:pPr>
      <w:r w:rsidRPr="004826D1">
        <w:t>kritēriji ir savstarpēji neatkarīgi (nav dublējošos kritēriju).</w:t>
      </w:r>
    </w:p>
    <w:p w14:paraId="6026D1D9" w14:textId="77777777" w:rsidR="008E72C9" w:rsidRPr="004826D1" w:rsidRDefault="008E72C9" w:rsidP="00336DC4">
      <w:pPr>
        <w:pStyle w:val="Pamatteksts1"/>
        <w:numPr>
          <w:ilvl w:val="0"/>
          <w:numId w:val="8"/>
        </w:numPr>
      </w:pPr>
      <w:r w:rsidRPr="004826D1">
        <w:t>Kritēriju nozīmīguma analīze jeb „svēršana”. Šajā SIVN kritēriju nozīmīguma analīze tika veikta, vienkārši salīdzinot kritērijus savā starpā, bet nenosakot to relatīvo “svaru”, jo dažādie kritēriji nebija savstarpēji summējami.</w:t>
      </w:r>
      <w:r w:rsidR="00F932CA" w:rsidRPr="004826D1">
        <w:t xml:space="preserve"> </w:t>
      </w:r>
    </w:p>
    <w:p w14:paraId="4C4D4DEB" w14:textId="77777777" w:rsidR="008E72C9" w:rsidRPr="004826D1" w:rsidRDefault="00602984" w:rsidP="00336DC4">
      <w:pPr>
        <w:pStyle w:val="Pamatteksts1"/>
        <w:numPr>
          <w:ilvl w:val="0"/>
          <w:numId w:val="8"/>
        </w:numPr>
      </w:pPr>
      <w:r>
        <w:lastRenderedPageBreak/>
        <w:t>Ietekmj</w:t>
      </w:r>
      <w:r w:rsidR="008E72C9" w:rsidRPr="004826D1">
        <w:t>u vērtējums pēc katra no kritērijiem</w:t>
      </w:r>
      <w:r>
        <w:t xml:space="preserve"> (skat. 4.1. tab.)</w:t>
      </w:r>
      <w:r w:rsidR="008E72C9" w:rsidRPr="004826D1">
        <w:t xml:space="preserve">. </w:t>
      </w:r>
      <w:r>
        <w:t xml:space="preserve">Ietekmes </w:t>
      </w:r>
      <w:r w:rsidR="008E72C9" w:rsidRPr="004826D1">
        <w:t xml:space="preserve">vērtē, piešķirot attiecīgu punktu skaitu katrai no tām. </w:t>
      </w:r>
      <w:r>
        <w:t>I</w:t>
      </w:r>
      <w:r w:rsidR="008E72C9" w:rsidRPr="004826D1">
        <w:t>etekmes veidam un intensitātei katrā kritērijā piešķir nosacītu skaitlisku raksturojumu:</w:t>
      </w:r>
    </w:p>
    <w:p w14:paraId="4CB31347" w14:textId="77777777" w:rsidR="009526EE" w:rsidRPr="004826D1" w:rsidRDefault="009526EE" w:rsidP="009526EE">
      <w:pPr>
        <w:pStyle w:val="Pamatteksts1"/>
        <w:ind w:left="720"/>
      </w:pPr>
      <w:r w:rsidRPr="004826D1">
        <w:t>-</w:t>
      </w:r>
      <w:r w:rsidR="0018112A" w:rsidRPr="004826D1">
        <w:t>3</w:t>
      </w:r>
      <w:r w:rsidRPr="004826D1">
        <w:t xml:space="preserve"> – izslēdzoši būtiska nelabvēlīga ietekme</w:t>
      </w:r>
    </w:p>
    <w:p w14:paraId="0CF75BA5" w14:textId="77777777" w:rsidR="008E72C9" w:rsidRPr="004826D1" w:rsidRDefault="009526EE" w:rsidP="008E72C9">
      <w:pPr>
        <w:pStyle w:val="Pamatteksts1"/>
        <w:ind w:left="720"/>
      </w:pPr>
      <w:r w:rsidRPr="004826D1">
        <w:t>-</w:t>
      </w:r>
      <w:r w:rsidR="008E72C9" w:rsidRPr="004826D1">
        <w:t>2 – būtiska nelabvēlīga ietekme</w:t>
      </w:r>
    </w:p>
    <w:p w14:paraId="08837C0C" w14:textId="77777777" w:rsidR="008E72C9" w:rsidRPr="004826D1" w:rsidRDefault="008E72C9" w:rsidP="008E72C9">
      <w:pPr>
        <w:pStyle w:val="Pamatteksts1"/>
        <w:ind w:left="720"/>
      </w:pPr>
      <w:r w:rsidRPr="004826D1">
        <w:t>-1 – nebūtiska nelabvēlīga ietekme</w:t>
      </w:r>
    </w:p>
    <w:p w14:paraId="373A8731" w14:textId="77777777" w:rsidR="008E72C9" w:rsidRPr="004826D1" w:rsidRDefault="008E72C9" w:rsidP="008E72C9">
      <w:pPr>
        <w:pStyle w:val="Pamatteksts1"/>
        <w:ind w:left="720"/>
      </w:pPr>
      <w:r w:rsidRPr="004826D1">
        <w:t xml:space="preserve"> 0 – ietekmes nav, ietekme ir neviennozīmīga vai ietekme nav nosakāma</w:t>
      </w:r>
    </w:p>
    <w:p w14:paraId="5B612A6E" w14:textId="77777777" w:rsidR="008E72C9" w:rsidRPr="004826D1" w:rsidRDefault="008E72C9" w:rsidP="008E72C9">
      <w:pPr>
        <w:pStyle w:val="Pamatteksts1"/>
        <w:ind w:left="720"/>
      </w:pPr>
      <w:r w:rsidRPr="004826D1">
        <w:t>+1 – nebūtiska labvēlīga ietekme</w:t>
      </w:r>
    </w:p>
    <w:p w14:paraId="39A5B0AD" w14:textId="77777777" w:rsidR="008E72C9" w:rsidRPr="004826D1" w:rsidRDefault="008E72C9" w:rsidP="008E72C9">
      <w:pPr>
        <w:pStyle w:val="Pamatteksts1"/>
        <w:ind w:left="720"/>
      </w:pPr>
      <w:r w:rsidRPr="004826D1">
        <w:t>+2 – būtiska labvēlīga ietekme</w:t>
      </w:r>
    </w:p>
    <w:p w14:paraId="2477BA36" w14:textId="77777777" w:rsidR="009526EE" w:rsidRPr="004826D1" w:rsidRDefault="009526EE" w:rsidP="009526EE">
      <w:pPr>
        <w:pStyle w:val="Pamatteksts1"/>
        <w:ind w:left="720"/>
      </w:pPr>
      <w:r w:rsidRPr="004826D1">
        <w:t>+3 – izšķiroši būtiska labvēlīga ietekme</w:t>
      </w:r>
    </w:p>
    <w:p w14:paraId="202F6989" w14:textId="77777777" w:rsidR="003C73F9" w:rsidRPr="004826D1" w:rsidRDefault="0018112A" w:rsidP="003C73F9">
      <w:pPr>
        <w:pStyle w:val="Pamatteksts1"/>
      </w:pPr>
      <w:r w:rsidRPr="004826D1">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w:t>
      </w:r>
      <w:r w:rsidR="003C73F9" w:rsidRPr="004826D1">
        <w:t xml:space="preserve"> (i</w:t>
      </w:r>
      <w:r w:rsidR="00EC730F" w:rsidRPr="004826D1">
        <w:t>zņemot</w:t>
      </w:r>
      <w:r w:rsidRPr="004826D1">
        <w:t xml:space="preserve"> izslēdzošas</w:t>
      </w:r>
      <w:r w:rsidR="00EC730F" w:rsidRPr="004826D1">
        <w:t>), ja tās rada tieši tās pašas darbības, kuras rada arī šo izšķiroši labvēlīgo ietekmi</w:t>
      </w:r>
      <w:r w:rsidR="003C73F9" w:rsidRPr="004826D1">
        <w:t>.</w:t>
      </w:r>
    </w:p>
    <w:p w14:paraId="55F05DEC" w14:textId="77777777" w:rsidR="008E72C9" w:rsidRPr="004826D1" w:rsidRDefault="008E72C9" w:rsidP="003C73F9">
      <w:pPr>
        <w:pStyle w:val="Pamatteksts1"/>
      </w:pPr>
      <w:r w:rsidRPr="004826D1">
        <w:t xml:space="preserve">Katrai ietekmei, kas atšķiras no nulles, tiek arī vērtēts, vai tā ir tieša/netieša, ilg-/īstermiņa, primāra/sekundāra, atgriezeniska/neatgriezeniska. Ietekmju ilguma un (ne)atgriezeniskuma vērtējums ir saprotams bez papildu paskaidrojumiem. Kā tiešas ir vērtētas tādas ietekmes uz vidi, ko </w:t>
      </w:r>
      <w:r w:rsidR="00A857C5" w:rsidRPr="004826D1">
        <w:t xml:space="preserve">plānošanas dokumenta īstenošana </w:t>
      </w:r>
      <w:r w:rsidRPr="004826D1">
        <w:t xml:space="preserve">rada absolūtās vērtībās. Kā netiešas ir vērtētas tādas ietekmes uz vidi, ko paredzētā attīstība rada nevis absolūtās vērtībās, bet sakarā ar vides jutīguma palielināšanos </w:t>
      </w:r>
      <w:r w:rsidR="00DA3985" w:rsidRPr="004826D1">
        <w:t xml:space="preserve">vai samazināšanos </w:t>
      </w:r>
      <w:r w:rsidRPr="004826D1">
        <w:t>pret tās pašas intensitātes ietekmēm (ko attiecībā uz ietekmju veidiem, kam likumos ir noteiktas robežvērtības, atspoguļo arī šo robežvērtību samazināšanās</w:t>
      </w:r>
      <w:r w:rsidR="00DA3985" w:rsidRPr="004826D1">
        <w:t xml:space="preserve"> vai palielināšanās</w:t>
      </w:r>
      <w:r w:rsidRPr="004826D1">
        <w:t>). Kā primāras ir vērtētas tādas ietekmes uz vidi, k</w:t>
      </w:r>
      <w:r w:rsidR="000D08BC" w:rsidRPr="004826D1">
        <w:t>o tieši rada paša Plāna īstenošana</w:t>
      </w:r>
      <w:r w:rsidRPr="004826D1">
        <w:t xml:space="preserve">. Kā sekundāras ir vērtētas tādas ietekmes uz vidi, ko </w:t>
      </w:r>
      <w:r w:rsidR="000D08BC" w:rsidRPr="004826D1">
        <w:t>Plāna īstenošanas</w:t>
      </w:r>
      <w:r w:rsidR="00A857C5" w:rsidRPr="004826D1">
        <w:t xml:space="preserve"> rezultātā rada </w:t>
      </w:r>
      <w:r w:rsidR="0072697E" w:rsidRPr="004826D1">
        <w:t xml:space="preserve">citi faktori, ko </w:t>
      </w:r>
      <w:r w:rsidR="000D08BC" w:rsidRPr="004826D1">
        <w:t xml:space="preserve">netieši </w:t>
      </w:r>
      <w:r w:rsidR="0072697E" w:rsidRPr="004826D1">
        <w:t xml:space="preserve">izmaina </w:t>
      </w:r>
      <w:r w:rsidR="000D08BC" w:rsidRPr="004826D1">
        <w:t>Plāna īstenošana</w:t>
      </w:r>
      <w:r w:rsidRPr="004826D1">
        <w:t>.</w:t>
      </w:r>
    </w:p>
    <w:p w14:paraId="01500692" w14:textId="77777777" w:rsidR="00981103" w:rsidRPr="004826D1" w:rsidRDefault="003C73F9" w:rsidP="009135C6">
      <w:pPr>
        <w:spacing w:after="120"/>
        <w:jc w:val="center"/>
        <w:rPr>
          <w:b/>
          <w:szCs w:val="24"/>
          <w:lang w:eastAsia="en-GB"/>
        </w:rPr>
      </w:pPr>
      <w:r w:rsidRPr="004826D1">
        <w:rPr>
          <w:b/>
          <w:szCs w:val="24"/>
          <w:lang w:eastAsia="lv-LV"/>
        </w:rPr>
        <w:t>4</w:t>
      </w:r>
      <w:r w:rsidR="00602984">
        <w:rPr>
          <w:b/>
          <w:szCs w:val="24"/>
          <w:lang w:eastAsia="lv-LV"/>
        </w:rPr>
        <w:t>.1</w:t>
      </w:r>
      <w:r w:rsidR="009135C6" w:rsidRPr="004826D1">
        <w:rPr>
          <w:b/>
          <w:szCs w:val="24"/>
          <w:lang w:eastAsia="lv-LV"/>
        </w:rPr>
        <w:t>. </w:t>
      </w:r>
      <w:r w:rsidR="006B7ED2" w:rsidRPr="004826D1">
        <w:rPr>
          <w:b/>
          <w:szCs w:val="24"/>
          <w:lang w:eastAsia="lv-LV"/>
        </w:rPr>
        <w:t xml:space="preserve">tabula. </w:t>
      </w:r>
      <w:r w:rsidR="00294A1F" w:rsidRPr="004826D1">
        <w:rPr>
          <w:b/>
          <w:szCs w:val="24"/>
        </w:rPr>
        <w:t>Plān</w:t>
      </w:r>
      <w:r w:rsidR="006B7ED2" w:rsidRPr="004826D1">
        <w:rPr>
          <w:b/>
          <w:szCs w:val="24"/>
        </w:rPr>
        <w:t>a ietekmes uz vidi stratēģiskajā novērtējumā vērtētās ietekmes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489"/>
        <w:gridCol w:w="5385"/>
      </w:tblGrid>
      <w:tr w:rsidR="006B7ED2" w:rsidRPr="004826D1" w14:paraId="1AC0C530" w14:textId="77777777" w:rsidTr="009B5F21">
        <w:trPr>
          <w:cantSplit/>
          <w:trHeight w:val="523"/>
          <w:jc w:val="center"/>
        </w:trPr>
        <w:tc>
          <w:tcPr>
            <w:tcW w:w="1489" w:type="dxa"/>
            <w:shd w:val="clear" w:color="auto" w:fill="E7E6E6"/>
          </w:tcPr>
          <w:p w14:paraId="7618CEBA" w14:textId="77777777" w:rsidR="006B7ED2" w:rsidRPr="004826D1" w:rsidRDefault="006B7ED2" w:rsidP="004B4531">
            <w:pPr>
              <w:rPr>
                <w:b/>
                <w:sz w:val="22"/>
                <w:szCs w:val="22"/>
              </w:rPr>
            </w:pPr>
            <w:r w:rsidRPr="004826D1">
              <w:rPr>
                <w:b/>
                <w:sz w:val="22"/>
                <w:szCs w:val="22"/>
              </w:rPr>
              <w:t>Nr.</w:t>
            </w:r>
          </w:p>
          <w:p w14:paraId="30BF9E8C" w14:textId="77777777" w:rsidR="006B7ED2" w:rsidRPr="004826D1" w:rsidRDefault="006B7ED2" w:rsidP="004B4531">
            <w:pPr>
              <w:rPr>
                <w:b/>
                <w:sz w:val="22"/>
                <w:szCs w:val="22"/>
              </w:rPr>
            </w:pPr>
            <w:r w:rsidRPr="004826D1">
              <w:rPr>
                <w:b/>
                <w:sz w:val="22"/>
                <w:szCs w:val="22"/>
              </w:rPr>
              <w:t>p.k.</w:t>
            </w:r>
          </w:p>
        </w:tc>
        <w:tc>
          <w:tcPr>
            <w:tcW w:w="5385" w:type="dxa"/>
            <w:shd w:val="clear" w:color="auto" w:fill="E7E6E6"/>
          </w:tcPr>
          <w:p w14:paraId="4232324E" w14:textId="77777777" w:rsidR="006B7ED2" w:rsidRPr="004826D1" w:rsidRDefault="006B7ED2" w:rsidP="004B4531">
            <w:pPr>
              <w:rPr>
                <w:b/>
                <w:sz w:val="22"/>
                <w:szCs w:val="22"/>
              </w:rPr>
            </w:pPr>
            <w:r w:rsidRPr="004826D1">
              <w:rPr>
                <w:b/>
                <w:sz w:val="22"/>
                <w:szCs w:val="22"/>
              </w:rPr>
              <w:t>Ietekmes veids</w:t>
            </w:r>
          </w:p>
        </w:tc>
      </w:tr>
      <w:tr w:rsidR="006B7ED2" w:rsidRPr="004826D1" w14:paraId="72760681" w14:textId="77777777" w:rsidTr="009B5F21">
        <w:trPr>
          <w:cantSplit/>
          <w:trHeight w:val="523"/>
          <w:jc w:val="center"/>
        </w:trPr>
        <w:tc>
          <w:tcPr>
            <w:tcW w:w="1489" w:type="dxa"/>
          </w:tcPr>
          <w:p w14:paraId="705976A9" w14:textId="77777777" w:rsidR="006B7ED2" w:rsidRPr="004826D1" w:rsidRDefault="006B7ED2" w:rsidP="004B4531">
            <w:pPr>
              <w:rPr>
                <w:sz w:val="22"/>
                <w:szCs w:val="22"/>
              </w:rPr>
            </w:pPr>
            <w:r w:rsidRPr="004826D1">
              <w:rPr>
                <w:sz w:val="22"/>
                <w:szCs w:val="22"/>
              </w:rPr>
              <w:t>1.</w:t>
            </w:r>
          </w:p>
        </w:tc>
        <w:tc>
          <w:tcPr>
            <w:tcW w:w="5385" w:type="dxa"/>
          </w:tcPr>
          <w:p w14:paraId="332A2263" w14:textId="77777777" w:rsidR="006B7ED2" w:rsidRPr="004826D1" w:rsidRDefault="006B7ED2" w:rsidP="006E5029">
            <w:pPr>
              <w:rPr>
                <w:sz w:val="22"/>
                <w:szCs w:val="22"/>
              </w:rPr>
            </w:pPr>
            <w:r w:rsidRPr="004826D1">
              <w:rPr>
                <w:sz w:val="22"/>
                <w:szCs w:val="22"/>
              </w:rPr>
              <w:t>Bioloģiskā daudzveidība</w:t>
            </w:r>
          </w:p>
        </w:tc>
      </w:tr>
      <w:tr w:rsidR="006B7ED2" w:rsidRPr="004826D1" w14:paraId="75D65371" w14:textId="77777777" w:rsidTr="009B5F21">
        <w:trPr>
          <w:cantSplit/>
          <w:trHeight w:val="523"/>
          <w:jc w:val="center"/>
        </w:trPr>
        <w:tc>
          <w:tcPr>
            <w:tcW w:w="1489" w:type="dxa"/>
          </w:tcPr>
          <w:p w14:paraId="34E47B33" w14:textId="77777777" w:rsidR="006B7ED2" w:rsidRPr="004826D1" w:rsidRDefault="006B7ED2" w:rsidP="004B4531">
            <w:pPr>
              <w:rPr>
                <w:sz w:val="22"/>
                <w:szCs w:val="22"/>
              </w:rPr>
            </w:pPr>
            <w:r w:rsidRPr="004826D1">
              <w:rPr>
                <w:sz w:val="22"/>
                <w:szCs w:val="22"/>
              </w:rPr>
              <w:t>2.</w:t>
            </w:r>
          </w:p>
        </w:tc>
        <w:tc>
          <w:tcPr>
            <w:tcW w:w="5385" w:type="dxa"/>
          </w:tcPr>
          <w:p w14:paraId="3C572294" w14:textId="77777777" w:rsidR="006B7ED2" w:rsidRPr="004826D1" w:rsidRDefault="006E5029" w:rsidP="004B4531">
            <w:pPr>
              <w:rPr>
                <w:sz w:val="22"/>
                <w:szCs w:val="22"/>
              </w:rPr>
            </w:pPr>
            <w:r w:rsidRPr="004826D1">
              <w:rPr>
                <w:sz w:val="22"/>
                <w:szCs w:val="22"/>
              </w:rPr>
              <w:t>Meža resursi</w:t>
            </w:r>
          </w:p>
        </w:tc>
      </w:tr>
      <w:tr w:rsidR="006B7ED2" w:rsidRPr="004826D1" w14:paraId="670AE52C" w14:textId="77777777" w:rsidTr="009B5F21">
        <w:trPr>
          <w:cantSplit/>
          <w:trHeight w:val="523"/>
          <w:jc w:val="center"/>
        </w:trPr>
        <w:tc>
          <w:tcPr>
            <w:tcW w:w="1489" w:type="dxa"/>
          </w:tcPr>
          <w:p w14:paraId="3A4C016C" w14:textId="77777777" w:rsidR="006B7ED2" w:rsidRPr="004826D1" w:rsidRDefault="006B7ED2" w:rsidP="004B4531">
            <w:pPr>
              <w:rPr>
                <w:sz w:val="22"/>
                <w:szCs w:val="22"/>
              </w:rPr>
            </w:pPr>
            <w:r w:rsidRPr="004826D1">
              <w:rPr>
                <w:sz w:val="22"/>
                <w:szCs w:val="22"/>
              </w:rPr>
              <w:t>3.</w:t>
            </w:r>
          </w:p>
        </w:tc>
        <w:tc>
          <w:tcPr>
            <w:tcW w:w="5385" w:type="dxa"/>
          </w:tcPr>
          <w:p w14:paraId="10DF7151" w14:textId="77777777" w:rsidR="006B7ED2" w:rsidRPr="004826D1" w:rsidRDefault="006B7ED2" w:rsidP="006E5029">
            <w:pPr>
              <w:rPr>
                <w:sz w:val="22"/>
                <w:szCs w:val="22"/>
              </w:rPr>
            </w:pPr>
            <w:r w:rsidRPr="004826D1">
              <w:rPr>
                <w:sz w:val="22"/>
                <w:szCs w:val="22"/>
              </w:rPr>
              <w:t>Ūde</w:t>
            </w:r>
            <w:r w:rsidR="007B25A6" w:rsidRPr="004826D1">
              <w:rPr>
                <w:sz w:val="22"/>
                <w:szCs w:val="22"/>
              </w:rPr>
              <w:t>n</w:t>
            </w:r>
            <w:r w:rsidR="006E5029" w:rsidRPr="004826D1">
              <w:rPr>
                <w:sz w:val="22"/>
                <w:szCs w:val="22"/>
              </w:rPr>
              <w:t>s resursi</w:t>
            </w:r>
          </w:p>
        </w:tc>
      </w:tr>
      <w:tr w:rsidR="006B7ED2" w:rsidRPr="004826D1" w14:paraId="3EE67A8F" w14:textId="77777777" w:rsidTr="009B5F21">
        <w:trPr>
          <w:cantSplit/>
          <w:trHeight w:val="511"/>
          <w:jc w:val="center"/>
        </w:trPr>
        <w:tc>
          <w:tcPr>
            <w:tcW w:w="1489" w:type="dxa"/>
          </w:tcPr>
          <w:p w14:paraId="2806C465" w14:textId="77777777" w:rsidR="006B7ED2" w:rsidRPr="004826D1" w:rsidRDefault="006B7ED2" w:rsidP="004B4531">
            <w:pPr>
              <w:rPr>
                <w:sz w:val="22"/>
                <w:szCs w:val="22"/>
              </w:rPr>
            </w:pPr>
            <w:r w:rsidRPr="004826D1">
              <w:rPr>
                <w:sz w:val="22"/>
                <w:szCs w:val="22"/>
              </w:rPr>
              <w:t>4.</w:t>
            </w:r>
          </w:p>
        </w:tc>
        <w:tc>
          <w:tcPr>
            <w:tcW w:w="5385" w:type="dxa"/>
          </w:tcPr>
          <w:p w14:paraId="26A91063" w14:textId="77777777" w:rsidR="006B7ED2" w:rsidRPr="004826D1" w:rsidRDefault="006E5029" w:rsidP="006E5029">
            <w:pPr>
              <w:rPr>
                <w:sz w:val="22"/>
                <w:szCs w:val="22"/>
              </w:rPr>
            </w:pPr>
            <w:r w:rsidRPr="004826D1">
              <w:rPr>
                <w:sz w:val="22"/>
                <w:szCs w:val="22"/>
              </w:rPr>
              <w:t>Augsne</w:t>
            </w:r>
          </w:p>
        </w:tc>
      </w:tr>
      <w:tr w:rsidR="006B7ED2" w:rsidRPr="004826D1" w14:paraId="7E86588C" w14:textId="77777777" w:rsidTr="009B5F21">
        <w:trPr>
          <w:cantSplit/>
          <w:trHeight w:val="523"/>
          <w:jc w:val="center"/>
        </w:trPr>
        <w:tc>
          <w:tcPr>
            <w:tcW w:w="1489" w:type="dxa"/>
          </w:tcPr>
          <w:p w14:paraId="18B3A40D" w14:textId="34D466CA" w:rsidR="006B7ED2" w:rsidRPr="004826D1" w:rsidRDefault="007D6920" w:rsidP="004B4531">
            <w:pPr>
              <w:rPr>
                <w:sz w:val="22"/>
                <w:szCs w:val="22"/>
              </w:rPr>
            </w:pPr>
            <w:r>
              <w:rPr>
                <w:sz w:val="22"/>
                <w:szCs w:val="22"/>
              </w:rPr>
              <w:t>5</w:t>
            </w:r>
            <w:r w:rsidR="006B7ED2" w:rsidRPr="004826D1">
              <w:rPr>
                <w:sz w:val="22"/>
                <w:szCs w:val="22"/>
              </w:rPr>
              <w:t>.</w:t>
            </w:r>
          </w:p>
        </w:tc>
        <w:tc>
          <w:tcPr>
            <w:tcW w:w="5385" w:type="dxa"/>
          </w:tcPr>
          <w:p w14:paraId="3EA94344" w14:textId="77777777" w:rsidR="006B7ED2" w:rsidRPr="004826D1" w:rsidRDefault="006B7ED2" w:rsidP="006E5029">
            <w:pPr>
              <w:rPr>
                <w:sz w:val="22"/>
                <w:szCs w:val="22"/>
              </w:rPr>
            </w:pPr>
            <w:r w:rsidRPr="004826D1">
              <w:rPr>
                <w:sz w:val="22"/>
                <w:szCs w:val="22"/>
              </w:rPr>
              <w:t>A</w:t>
            </w:r>
            <w:r w:rsidR="006E5029" w:rsidRPr="004826D1">
              <w:rPr>
                <w:sz w:val="22"/>
                <w:szCs w:val="22"/>
              </w:rPr>
              <w:t>tmosfēras gaisa kvalitāte</w:t>
            </w:r>
          </w:p>
        </w:tc>
      </w:tr>
      <w:tr w:rsidR="007B25A6" w:rsidRPr="004826D1" w14:paraId="28D2E2BA" w14:textId="77777777" w:rsidTr="009B5F21">
        <w:trPr>
          <w:cantSplit/>
          <w:trHeight w:val="523"/>
          <w:jc w:val="center"/>
        </w:trPr>
        <w:tc>
          <w:tcPr>
            <w:tcW w:w="1489" w:type="dxa"/>
          </w:tcPr>
          <w:p w14:paraId="02FFF2B1" w14:textId="410A7C4E" w:rsidR="007B25A6" w:rsidRPr="004826D1" w:rsidRDefault="007D6920" w:rsidP="004B4531">
            <w:pPr>
              <w:rPr>
                <w:sz w:val="22"/>
                <w:szCs w:val="22"/>
              </w:rPr>
            </w:pPr>
            <w:r>
              <w:rPr>
                <w:sz w:val="22"/>
                <w:szCs w:val="22"/>
              </w:rPr>
              <w:t>6</w:t>
            </w:r>
            <w:r w:rsidR="007B25A6" w:rsidRPr="004826D1">
              <w:rPr>
                <w:sz w:val="22"/>
                <w:szCs w:val="22"/>
              </w:rPr>
              <w:t>.</w:t>
            </w:r>
          </w:p>
        </w:tc>
        <w:tc>
          <w:tcPr>
            <w:tcW w:w="5385" w:type="dxa"/>
          </w:tcPr>
          <w:p w14:paraId="300E1F48" w14:textId="77777777" w:rsidR="007B25A6" w:rsidRPr="004826D1" w:rsidRDefault="007B25A6" w:rsidP="00602984">
            <w:pPr>
              <w:rPr>
                <w:sz w:val="22"/>
                <w:szCs w:val="22"/>
              </w:rPr>
            </w:pPr>
            <w:r w:rsidRPr="004826D1">
              <w:rPr>
                <w:sz w:val="22"/>
                <w:szCs w:val="22"/>
              </w:rPr>
              <w:t>Ainavas</w:t>
            </w:r>
            <w:r w:rsidR="00602984">
              <w:rPr>
                <w:sz w:val="22"/>
                <w:szCs w:val="22"/>
              </w:rPr>
              <w:t>, k</w:t>
            </w:r>
            <w:r w:rsidR="00602984" w:rsidRPr="004826D1">
              <w:rPr>
                <w:sz w:val="22"/>
                <w:szCs w:val="22"/>
              </w:rPr>
              <w:t>ultūrvēsturiskie objekti</w:t>
            </w:r>
          </w:p>
        </w:tc>
      </w:tr>
      <w:tr w:rsidR="006B7ED2" w:rsidRPr="004826D1" w14:paraId="41631775" w14:textId="77777777" w:rsidTr="009B5F21">
        <w:trPr>
          <w:cantSplit/>
          <w:trHeight w:val="523"/>
          <w:jc w:val="center"/>
        </w:trPr>
        <w:tc>
          <w:tcPr>
            <w:tcW w:w="1489" w:type="dxa"/>
          </w:tcPr>
          <w:p w14:paraId="3D50D4AF" w14:textId="6C1B58AE" w:rsidR="006B7ED2" w:rsidRPr="004826D1" w:rsidRDefault="007D6920" w:rsidP="004B4531">
            <w:pPr>
              <w:rPr>
                <w:sz w:val="22"/>
                <w:szCs w:val="22"/>
              </w:rPr>
            </w:pPr>
            <w:r>
              <w:rPr>
                <w:sz w:val="22"/>
                <w:szCs w:val="22"/>
              </w:rPr>
              <w:t>7</w:t>
            </w:r>
            <w:r w:rsidR="007B25A6" w:rsidRPr="004826D1">
              <w:rPr>
                <w:sz w:val="22"/>
                <w:szCs w:val="22"/>
              </w:rPr>
              <w:t>.</w:t>
            </w:r>
          </w:p>
        </w:tc>
        <w:tc>
          <w:tcPr>
            <w:tcW w:w="5385" w:type="dxa"/>
          </w:tcPr>
          <w:p w14:paraId="60FC129E" w14:textId="77777777" w:rsidR="006B7ED2" w:rsidRPr="004826D1" w:rsidRDefault="007B25A6" w:rsidP="006E5029">
            <w:pPr>
              <w:rPr>
                <w:sz w:val="22"/>
                <w:szCs w:val="22"/>
              </w:rPr>
            </w:pPr>
            <w:r w:rsidRPr="004826D1">
              <w:rPr>
                <w:sz w:val="22"/>
                <w:szCs w:val="22"/>
              </w:rPr>
              <w:t>Trokšņa līmenis</w:t>
            </w:r>
          </w:p>
        </w:tc>
      </w:tr>
      <w:tr w:rsidR="00602984" w:rsidRPr="004826D1" w14:paraId="25993AA0" w14:textId="77777777" w:rsidTr="009B5F21">
        <w:trPr>
          <w:cantSplit/>
          <w:trHeight w:val="523"/>
          <w:jc w:val="center"/>
        </w:trPr>
        <w:tc>
          <w:tcPr>
            <w:tcW w:w="1489" w:type="dxa"/>
          </w:tcPr>
          <w:p w14:paraId="1187B81A" w14:textId="77777777" w:rsidR="00602984" w:rsidRPr="004826D1" w:rsidRDefault="00602984" w:rsidP="000A3473">
            <w:pPr>
              <w:rPr>
                <w:sz w:val="22"/>
                <w:szCs w:val="22"/>
              </w:rPr>
            </w:pPr>
            <w:r>
              <w:rPr>
                <w:sz w:val="22"/>
                <w:szCs w:val="22"/>
              </w:rPr>
              <w:t>9</w:t>
            </w:r>
            <w:r w:rsidRPr="004826D1">
              <w:rPr>
                <w:sz w:val="22"/>
                <w:szCs w:val="22"/>
              </w:rPr>
              <w:t>.</w:t>
            </w:r>
          </w:p>
        </w:tc>
        <w:tc>
          <w:tcPr>
            <w:tcW w:w="5385" w:type="dxa"/>
          </w:tcPr>
          <w:p w14:paraId="1EAE73B2" w14:textId="77777777" w:rsidR="00602984" w:rsidRPr="004826D1" w:rsidRDefault="00602984" w:rsidP="000A3473">
            <w:pPr>
              <w:rPr>
                <w:sz w:val="22"/>
                <w:szCs w:val="22"/>
              </w:rPr>
            </w:pPr>
            <w:r w:rsidRPr="004826D1">
              <w:rPr>
                <w:sz w:val="22"/>
                <w:szCs w:val="22"/>
              </w:rPr>
              <w:t>Klimata pārmaiņas</w:t>
            </w:r>
          </w:p>
        </w:tc>
      </w:tr>
      <w:tr w:rsidR="007D6920" w:rsidRPr="004826D1" w14:paraId="1B251B59" w14:textId="77777777" w:rsidTr="009B5F21">
        <w:trPr>
          <w:cantSplit/>
          <w:trHeight w:val="523"/>
          <w:jc w:val="center"/>
        </w:trPr>
        <w:tc>
          <w:tcPr>
            <w:tcW w:w="1489" w:type="dxa"/>
          </w:tcPr>
          <w:p w14:paraId="56B4F0E0" w14:textId="7996F248" w:rsidR="007D6920" w:rsidRDefault="007D6920" w:rsidP="000A3473">
            <w:pPr>
              <w:rPr>
                <w:sz w:val="22"/>
                <w:szCs w:val="22"/>
              </w:rPr>
            </w:pPr>
            <w:r>
              <w:rPr>
                <w:sz w:val="22"/>
                <w:szCs w:val="22"/>
              </w:rPr>
              <w:t>10.</w:t>
            </w:r>
          </w:p>
        </w:tc>
        <w:tc>
          <w:tcPr>
            <w:tcW w:w="5385" w:type="dxa"/>
          </w:tcPr>
          <w:p w14:paraId="7689AFAB" w14:textId="36EEA776" w:rsidR="007D6920" w:rsidRPr="004826D1" w:rsidRDefault="007D6920" w:rsidP="000A3473">
            <w:pPr>
              <w:rPr>
                <w:sz w:val="22"/>
                <w:szCs w:val="22"/>
              </w:rPr>
            </w:pPr>
            <w:r>
              <w:rPr>
                <w:sz w:val="22"/>
                <w:szCs w:val="22"/>
              </w:rPr>
              <w:t>Pārrobežu ietekmes</w:t>
            </w:r>
          </w:p>
        </w:tc>
      </w:tr>
    </w:tbl>
    <w:p w14:paraId="026AC021" w14:textId="77777777" w:rsidR="006B7ED2" w:rsidRPr="004826D1" w:rsidRDefault="006B7ED2" w:rsidP="006B7ED2">
      <w:pPr>
        <w:pStyle w:val="CommentText"/>
        <w:jc w:val="both"/>
        <w:rPr>
          <w:lang w:val="lv-LV"/>
        </w:rPr>
      </w:pPr>
    </w:p>
    <w:p w14:paraId="545967B6" w14:textId="77777777" w:rsidR="00EC5ADD" w:rsidRPr="004826D1" w:rsidRDefault="0027086B" w:rsidP="00EC5ADD">
      <w:pPr>
        <w:pStyle w:val="Heading1"/>
        <w:spacing w:after="120"/>
        <w:jc w:val="both"/>
        <w:rPr>
          <w:rFonts w:ascii="Times New Roman" w:hAnsi="Times New Roman"/>
          <w:lang w:val="lv-LV"/>
        </w:rPr>
      </w:pPr>
      <w:r w:rsidRPr="004826D1">
        <w:rPr>
          <w:rFonts w:ascii="Times New Roman" w:hAnsi="Times New Roman"/>
          <w:lang w:val="lv-LV"/>
        </w:rPr>
        <w:br w:type="page"/>
      </w:r>
      <w:bookmarkStart w:id="206" w:name="_Toc169602277"/>
      <w:r w:rsidR="00EC5ADD" w:rsidRPr="004826D1">
        <w:rPr>
          <w:rFonts w:ascii="Times New Roman" w:hAnsi="Times New Roman"/>
          <w:lang w:val="lv-LV"/>
        </w:rPr>
        <w:lastRenderedPageBreak/>
        <w:t>5. Vides sākumstāvokļa izpēte</w:t>
      </w:r>
      <w:bookmarkEnd w:id="206"/>
    </w:p>
    <w:p w14:paraId="04EC9407" w14:textId="77777777" w:rsidR="00062FF4" w:rsidRPr="004826D1" w:rsidRDefault="00062FF4" w:rsidP="00062FF4"/>
    <w:p w14:paraId="02F79209" w14:textId="77777777" w:rsidR="00E851B9" w:rsidRPr="004826D1" w:rsidRDefault="00EC5ADD" w:rsidP="00E851B9">
      <w:pPr>
        <w:pStyle w:val="Heading2"/>
        <w:spacing w:after="120"/>
        <w:jc w:val="both"/>
        <w:rPr>
          <w:rFonts w:ascii="Times New Roman" w:hAnsi="Times New Roman"/>
          <w:lang w:val="lv-LV"/>
        </w:rPr>
      </w:pPr>
      <w:bookmarkStart w:id="207" w:name="_Toc169602278"/>
      <w:r w:rsidRPr="004826D1">
        <w:rPr>
          <w:rFonts w:ascii="Times New Roman" w:hAnsi="Times New Roman"/>
          <w:lang w:val="lv-LV"/>
        </w:rPr>
        <w:t>5.1 Bioloģiskā daudzveidība</w:t>
      </w:r>
      <w:r w:rsidR="00E851B9" w:rsidRPr="004826D1">
        <w:rPr>
          <w:rFonts w:ascii="Times New Roman" w:hAnsi="Times New Roman"/>
          <w:lang w:val="lv-LV"/>
        </w:rPr>
        <w:t>, īpaši aizsargājamās dabas teritorijas, sugas un biotopi</w:t>
      </w:r>
      <w:bookmarkEnd w:id="207"/>
    </w:p>
    <w:p w14:paraId="6EAA0D4D" w14:textId="77777777" w:rsidR="00EC5ADD" w:rsidRDefault="00EC5ADD" w:rsidP="00EC5ADD">
      <w:pPr>
        <w:spacing w:after="120"/>
        <w:jc w:val="both"/>
        <w:rPr>
          <w:rFonts w:cs="Times New Roman"/>
          <w:lang w:eastAsia="en-GB"/>
        </w:rPr>
      </w:pPr>
      <w:r w:rsidRPr="004826D1">
        <w:rPr>
          <w:rFonts w:cs="Times New Roman"/>
          <w:lang w:eastAsia="en-GB"/>
        </w:rPr>
        <w:t>„Bioloģiskā daudzveidība”, saskaņā ar 1992.</w:t>
      </w:r>
      <w:r w:rsidR="00E851B9" w:rsidRPr="004826D1">
        <w:rPr>
          <w:rFonts w:cs="Times New Roman"/>
          <w:lang w:eastAsia="en-GB"/>
        </w:rPr>
        <w:t> </w:t>
      </w:r>
      <w:r w:rsidRPr="004826D1">
        <w:rPr>
          <w:rFonts w:cs="Times New Roman"/>
          <w:lang w:eastAsia="en-GB"/>
        </w:rPr>
        <w:t>gada 5.</w:t>
      </w:r>
      <w:r w:rsidR="00E851B9" w:rsidRPr="004826D1">
        <w:rPr>
          <w:rFonts w:cs="Times New Roman"/>
          <w:lang w:eastAsia="en-GB"/>
        </w:rPr>
        <w:t> </w:t>
      </w:r>
      <w:r w:rsidRPr="004826D1">
        <w:rPr>
          <w:rFonts w:cs="Times New Roman"/>
          <w:lang w:eastAsia="en-GB"/>
        </w:rPr>
        <w:t>jūnija Riodežaneiro Konvenciju par bioloģisko daudzveidību, nozīmē dzīvo organismu formu dažādību visās vidēs, tai skaitā sauszemes, jūras un citās ūdens ekosistēmās un ekoloģiskajos kompleksos, kuru sastāvdaļas tās ir; tā ietver daudzveidību sugas ietvaros, starp sugām un starp ekosistēmām. Bioloģisko daudzveidību mēdz iedalīt trijos līmeņos: 1) sugas ietvaros, 2) starp sugām, 3) ekosistēmā, starp sugu grupām. Ekosistēmu daudzveidība ietver arī biotopus jeb dzīvotnes. Reizēm izdala arī bioloģiskās daudzveidības ceturto – ainavu līmeni. Sugu pastāvēšanai nepieciešami visi šie daudzveidības līmeņi.</w:t>
      </w:r>
    </w:p>
    <w:p w14:paraId="0CCD3F5C"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Konvencija „Par bioloģisko daudzveidību” (Riodežaneiro 1992. gada 5. jūnija Konvencija par bioloģisko daudzveidību) uzsver trīs savstarpēji saistītu jomu nozīmīgumu – sugu, ekosistēmu un ģenētiskās daudzveidības saglabāšanu. Latvijas dabas aizsardzības tradīcijas galvenokārt vērstas uz sugu un ekosistēmu aizsardzību, savukārt ģenētiskās daudzveidības aizsardzība ir salīdzinoši nesena koncepcija. Lai nodrošinātu bioloģiskās daudzveidības aizsardzību bioloģiskās daudzveidības aizsardzības jautājumi tiek iestrādāti nozaru stratēģijās un rīcības plānos. Tas ir īpaši svarīgi attiecībā uz tādām nozarēm kā mežsaimniecība, lauksaimniecība, zivsaimniecība, enerģētika, transporta nozare un plānošana. Eiropas Savienībā ir izstrādāta bioloģiskās daudzveidības politika un pieņemti normatīvie akti, kuru mērķis ir nodrošināt bioloģiskās daudzveidības saglabāšanu (Putnu un Biotopu direktīvas). ES nozīmes aizsargājamo teritoriju tīkls – </w:t>
      </w:r>
      <w:r w:rsidRPr="00A804CC">
        <w:rPr>
          <w:rFonts w:cs="Times New Roman"/>
          <w:i/>
          <w:lang w:eastAsia="en-GB"/>
        </w:rPr>
        <w:t>Natura 2000</w:t>
      </w:r>
      <w:r w:rsidRPr="00C241F3">
        <w:rPr>
          <w:rFonts w:cs="Times New Roman"/>
          <w:lang w:eastAsia="en-GB"/>
        </w:rPr>
        <w:t>, ir ES dabas un bioloģiskās daudzveidības aizsardzības politikas būtiskākā sastāvdaļa.</w:t>
      </w:r>
    </w:p>
    <w:p w14:paraId="390464B2" w14:textId="77777777" w:rsidR="00F268A2" w:rsidRPr="004826D1" w:rsidRDefault="00F268A2" w:rsidP="00F268A2">
      <w:pPr>
        <w:spacing w:after="120"/>
        <w:jc w:val="both"/>
        <w:rPr>
          <w:rFonts w:cs="Times New Roman"/>
          <w:lang w:eastAsia="en-GB"/>
        </w:rPr>
      </w:pPr>
      <w:r w:rsidRPr="004826D1">
        <w:rPr>
          <w:rFonts w:cs="Times New Roman"/>
          <w:lang w:eastAsia="en-GB"/>
        </w:rPr>
        <w:t>Latvijā, tāpat kā citur pasaulē, sugas tiek atklātas no jauna, izzūd vai arī ziņas par to sastopamību ir ar dažādu ticamības pakāpi, tāpēc dati par sugu skaitu Latvijā periodiski mainās. Latvijā reģistrētas 1937 vaskulāro augu sugas, no tām 1304 vietējās (t.sk. 18</w:t>
      </w:r>
      <w:r w:rsidR="001B098A" w:rsidRPr="004826D1">
        <w:rPr>
          <w:rFonts w:cs="Times New Roman"/>
          <w:lang w:eastAsia="en-GB"/>
        </w:rPr>
        <w:t xml:space="preserve"> </w:t>
      </w:r>
      <w:r w:rsidRPr="004826D1">
        <w:rPr>
          <w:rFonts w:cs="Times New Roman"/>
          <w:lang w:eastAsia="en-GB"/>
        </w:rPr>
        <w:t>izzudušās) un 633 citzemju (293 dārzbēgļu un 340 adventīvās jeb ievazātās) sugas un 39</w:t>
      </w:r>
      <w:r w:rsidR="001B098A" w:rsidRPr="004826D1">
        <w:rPr>
          <w:rFonts w:cs="Times New Roman"/>
          <w:lang w:eastAsia="en-GB"/>
        </w:rPr>
        <w:t xml:space="preserve"> </w:t>
      </w:r>
      <w:r w:rsidRPr="004826D1">
        <w:rPr>
          <w:rFonts w:cs="Times New Roman"/>
          <w:lang w:eastAsia="en-GB"/>
        </w:rPr>
        <w:t>pasugas, kas pieder 665 ģintīm un 132 dzimtām, kā arī 2 hibrīdģintis un 104 hibrīdi. Šajā sarakstā nav iekļautas sugas, kas Latvijā tiek audzētas dārzos, siltumnīcās vai lauksaimniecības kultūrās, bet nav sastopamas savvaļā. Tādējādi kopējais Latvijā sastopamo vaskulāro augu sugu, hibrīdu un šķirņu skaits ir ievērojami lielāks. Sūnu sugu skaits Latvijā tiek lēsts ap 500, ķērpju – ap 542 sugām, bet sēņu – ap 4100 sugu.</w:t>
      </w:r>
    </w:p>
    <w:p w14:paraId="7897C3F2" w14:textId="77777777" w:rsidR="00EC5ADD" w:rsidRPr="004826D1" w:rsidRDefault="00EC5ADD" w:rsidP="00EC5ADD">
      <w:pPr>
        <w:spacing w:after="120"/>
        <w:jc w:val="both"/>
        <w:rPr>
          <w:rFonts w:cs="Times New Roman"/>
          <w:lang w:eastAsia="en-GB"/>
        </w:rPr>
      </w:pPr>
      <w:r w:rsidRPr="004826D1">
        <w:rPr>
          <w:rFonts w:cs="Times New Roman"/>
          <w:lang w:eastAsia="en-GB"/>
        </w:rPr>
        <w:t xml:space="preserve">Bezmugurkaulnieki ir daudzveidīga, liela dzīvnieku grupa, kurai piederīgo sugu skaits Latvijā sniedzas vairākos tūkstošos, taču precīzs dažādu bezmugurkaulnieku apakšgrupu sugu skaits nav zināms un pastāvīgi mainās. Piemēram, no bezmugurkaulniekiem samērā labi izpētīti </w:t>
      </w:r>
      <w:r w:rsidR="00402EC5" w:rsidRPr="004826D1">
        <w:rPr>
          <w:rFonts w:cs="Times New Roman"/>
          <w:lang w:eastAsia="en-GB"/>
        </w:rPr>
        <w:t xml:space="preserve">ir </w:t>
      </w:r>
      <w:r w:rsidRPr="004826D1">
        <w:rPr>
          <w:rFonts w:cs="Times New Roman"/>
          <w:lang w:eastAsia="en-GB"/>
        </w:rPr>
        <w:t>gliemji – Latvijā ir ap 80 sauszemes gliemežu sugu, 48 saldūdens gliemežu, 42 saldūdens gliemeņu, 3 jūras gliemežu un 4 jūras gliemeņu sugu. Turpretī, piemēram, kukaiņu daudzveidību Latvijā raksturo aptuvens skaitlis – 10 000 sugu, taču tiek atklātas vēl aizvien jaunas sugas, un to kopējais skaits varētu būt vairāk nekā 15 000 sugu. Mugurkaulnieki ir salīdzinoši labāk izpētīti. Latvijā zināmas ap 80 zivju sugu, 13 abinieku un 7 rāpuļu sugas. Retos gadījumos savvaļā konstatētas arī izbēgušas vai apzināti introducētas sugas no citiem pasaules reģioniem, kas pagaidām nav pieskaitītas vietējai faunai. Putnu un zīdītāju sugu skaits nav pastāvīgs, jo šie dzīvnieki pārvietojas lielākos attālumos, tāpēc novērotās sugas ir gan caurceļotāji, gan nejauši ieceļotāji, kas neļauj noteikt precīzu kopējo Latvijas sugu skaitu. Putnu sugu kopējais skaits, kas kopš 19. gs. konstatētas Latvijā, ir vairāk nekā 300, bet zīdītāju sugu ir 62, lai gan iespējama arī dažu sugu ieceļošana.</w:t>
      </w:r>
    </w:p>
    <w:p w14:paraId="71451F76" w14:textId="77777777" w:rsidR="00EC5ADD" w:rsidRPr="004826D1" w:rsidRDefault="00EC5ADD" w:rsidP="00EC5ADD">
      <w:pPr>
        <w:spacing w:after="120"/>
        <w:jc w:val="both"/>
        <w:rPr>
          <w:rFonts w:cs="Times New Roman"/>
          <w:lang w:eastAsia="en-GB"/>
        </w:rPr>
      </w:pPr>
      <w:r w:rsidRPr="004826D1">
        <w:rPr>
          <w:rFonts w:cs="Times New Roman"/>
          <w:lang w:eastAsia="en-GB"/>
        </w:rPr>
        <w:lastRenderedPageBreak/>
        <w:t xml:space="preserve">Biotopus var klasificēt pēc dažādām atšķirīgām metodēm, bet pēdējā laikā biežāk lietotie klasifikatori ir </w:t>
      </w:r>
      <w:r w:rsidRPr="004826D1">
        <w:rPr>
          <w:rFonts w:cs="Times New Roman"/>
          <w:i/>
          <w:iCs/>
          <w:lang w:eastAsia="en-GB"/>
        </w:rPr>
        <w:t>Kabucis I (red.)., 2001. Latvijas biotopi. Klasifikators. Rīga: LDF, 96</w:t>
      </w:r>
      <w:r w:rsidR="004C4F42" w:rsidRPr="004826D1">
        <w:rPr>
          <w:rFonts w:cs="Times New Roman"/>
          <w:i/>
          <w:iCs/>
          <w:lang w:eastAsia="en-GB"/>
        </w:rPr>
        <w:t>.</w:t>
      </w:r>
      <w:r w:rsidRPr="004826D1">
        <w:rPr>
          <w:rFonts w:cs="Times New Roman"/>
          <w:i/>
          <w:iCs/>
          <w:lang w:eastAsia="en-GB"/>
        </w:rPr>
        <w:t xml:space="preserve"> lpp. un Auniņš A. (red.) 2010. Eiropas Savienības aizsargājamie biotopi Latvijā. Noteikšanas rokasgrāmata. Latvijas Dabas fonds, Rīga, 320</w:t>
      </w:r>
      <w:r w:rsidRPr="004826D1">
        <w:rPr>
          <w:rFonts w:cs="Times New Roman"/>
          <w:lang w:eastAsia="en-GB"/>
        </w:rPr>
        <w:t>. Latvijas biotopu klasifikatorā izdalītas 13 biotopu grupas: jūras biotopi, jūras krasta biotopi, stāvoši ūdeņi, upes, pļavas, meži, purvi, iežu atsegumi, tīrumi un dārzi, parki un apstādījumi, ruderāli biotopi, pilsētu un apdzīvotu vietu apbūve, mākslīgas ūdenstilpes un regulētas ūdensteces. Saskaņā ar šo klasifikatoru praktiski jebkuru Latvijas teritoriju var pieskaitīt kādai no biotopu grupām.</w:t>
      </w:r>
    </w:p>
    <w:p w14:paraId="03D4D826" w14:textId="77777777" w:rsidR="00EC5ADD" w:rsidRDefault="00EC5ADD" w:rsidP="00EC5ADD">
      <w:pPr>
        <w:spacing w:after="120"/>
        <w:jc w:val="both"/>
        <w:rPr>
          <w:rFonts w:cs="Times New Roman"/>
          <w:lang w:eastAsia="en-GB"/>
        </w:rPr>
      </w:pPr>
      <w:r w:rsidRPr="004826D1">
        <w:rPr>
          <w:rFonts w:cs="Times New Roman"/>
          <w:lang w:eastAsia="en-GB"/>
        </w:rPr>
        <w:t>Klasifikators „Eiropas Savienības aizsargājamie biotopi Latvijā” paredzēts tikai no bioloģiskās daudzveidības saglabāšanas viedokļa vērtīgu teritoriju klasificēšanai – īpaši aizsargājamo biotopu noteikšanai. Šajā klasifikatorā iekļauti 58 dažādi biotopi. Saskaņā ar projekta „2007. – 2013. gada finanšu plānošanas perioda ierobežotas atlases 3.5.1.3. aktivitātes „Infrastruktūras izveide Natura 2000 teritorijās” intensīvi apmeklētu Natura 2000 teritoriju ar tūrisma attīstības potenciālu saraksta izvērtējums un priekšlikumu saraksta precizēšanai izstrāde”</w:t>
      </w:r>
      <w:r w:rsidRPr="004826D1">
        <w:rPr>
          <w:rStyle w:val="FootnoteReference"/>
          <w:lang w:eastAsia="en-GB"/>
        </w:rPr>
        <w:footnoteReference w:id="49"/>
      </w:r>
      <w:r w:rsidRPr="004826D1">
        <w:rPr>
          <w:rFonts w:cs="Times New Roman"/>
          <w:lang w:eastAsia="en-GB"/>
        </w:rPr>
        <w:t xml:space="preserve"> datiem, Latvijā ir aptuveni 257 913 ha Eiropas nozīmes aizsargājamu biotopu, kas ir aptuveni 3% Latvijas teritorijas.</w:t>
      </w:r>
    </w:p>
    <w:p w14:paraId="1774DB09" w14:textId="77777777" w:rsidR="005B6239" w:rsidRPr="00C241F3" w:rsidRDefault="005B6239" w:rsidP="005B6239">
      <w:pPr>
        <w:spacing w:after="120"/>
        <w:jc w:val="both"/>
        <w:rPr>
          <w:rFonts w:cs="Times New Roman"/>
          <w:lang w:eastAsia="en-GB"/>
        </w:rPr>
      </w:pPr>
      <w:r w:rsidRPr="00C241F3">
        <w:rPr>
          <w:rFonts w:cs="Times New Roman"/>
          <w:lang w:eastAsia="en-GB"/>
        </w:rPr>
        <w:t>Īpaši aizsargājamās dabas teritorijas (ĪADT) Latvijā ir ģeogrāfiski noteiktas platības, kas atrodas īpašā valsts aizsardzībā, lai aizsargātu un saglabātu dabas daudzveidību - retas un tipiskas dabas ekosistēmas, aizsargājamo sugu dzīves vide, savdabīgas, skaistas un Latvijai raksturīgas ainavas, ģeoloģiskos un ģeomorfoloģiskos veidojumus, dendroloģiskos stādījumus un dižkokus, kā arī sabiedrības atpūtai, izglītošanai un audzināšanai nozīmīgas teritorijas.</w:t>
      </w:r>
    </w:p>
    <w:p w14:paraId="7903A8B4" w14:textId="77777777" w:rsidR="005B6239" w:rsidRPr="00C241F3" w:rsidRDefault="005B6239" w:rsidP="005B6239">
      <w:pPr>
        <w:spacing w:after="120"/>
        <w:jc w:val="both"/>
        <w:rPr>
          <w:rFonts w:cs="Times New Roman"/>
          <w:lang w:eastAsia="en-GB"/>
        </w:rPr>
      </w:pPr>
      <w:r w:rsidRPr="00C241F3">
        <w:rPr>
          <w:rFonts w:cs="Times New Roman"/>
          <w:lang w:eastAsia="en-GB"/>
        </w:rPr>
        <w:t>Pavisam Latvijā ir 655 ar likumiem vai Ministru kabineta noteikumiem apstiprinātas īpaši aizsargājamas dabas teritorijas, kas katra atbilst kādai no astoņām aizsargājamo teritoriju kategorijām (nacionālais parks, biosfēras rezervāts, dabas parks, aizsargājamo ainavu apvidus, dabas liegums, dabas rezervāts, dabas piemineklis, jūras teritorija), kas savstarpēji atšķiras ar teritorijas izveidošanas mērķiem, teritorijas platību un dažādu aizsardzības pakāpi - atļautajām un aizliegtajām darbībām.</w:t>
      </w:r>
    </w:p>
    <w:p w14:paraId="1C6C09B0"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Viens no svarīgākajiem Putnu un Biotopu direktīvu ieviešanas rezultātiem ir Eiropas mērogā nozīmīgo dabas teritoriju ekoloģiskā tīkla </w:t>
      </w:r>
      <w:r w:rsidRPr="00A804CC">
        <w:rPr>
          <w:rFonts w:cs="Times New Roman"/>
          <w:i/>
          <w:lang w:eastAsia="en-GB"/>
        </w:rPr>
        <w:t>Natura 2000</w:t>
      </w:r>
      <w:r w:rsidRPr="00C241F3">
        <w:rPr>
          <w:rFonts w:cs="Times New Roman"/>
          <w:lang w:eastAsia="en-GB"/>
        </w:rPr>
        <w:t xml:space="preserve"> izveide. Kopš 2004. gada arī Latvija ir izveidojusi savu daļu no šī tīkla. Tas tika veidots no jau esošajām īpaši aizsargājamām dabas teritorijām, pievienojot klāt vēl 122 jaunas. No direktīvu sarakstos iekļautajām sugām un biotopiem Latvijā atrodamas un tiek aizsargātas 20 augu, 34 bezmugurkaulnieku, 29 zīdītāju, 3 rāpuļu, 11 abinieku, 13 zivju, 93 putnu sugas un 58 biotopu veidi.</w:t>
      </w:r>
    </w:p>
    <w:p w14:paraId="77BC67FF"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Latvijā ir 658 īpaši aizsargājamās dabas teritorijas (ĪADT). </w:t>
      </w:r>
      <w:r w:rsidRPr="00A804CC">
        <w:rPr>
          <w:rFonts w:cs="Times New Roman"/>
          <w:i/>
          <w:lang w:eastAsia="en-GB"/>
        </w:rPr>
        <w:t>Natura 2000</w:t>
      </w:r>
      <w:r w:rsidRPr="00C241F3">
        <w:rPr>
          <w:rFonts w:cs="Times New Roman"/>
          <w:lang w:eastAsia="en-GB"/>
        </w:rPr>
        <w:t xml:space="preserve"> tīklā Latvijā ir iekļautas 333 teritorijas. </w:t>
      </w:r>
      <w:r w:rsidRPr="00A804CC">
        <w:rPr>
          <w:rFonts w:cs="Times New Roman"/>
          <w:i/>
          <w:lang w:eastAsia="en-GB"/>
        </w:rPr>
        <w:t>Natura 2000</w:t>
      </w:r>
      <w:r w:rsidRPr="00C241F3">
        <w:rPr>
          <w:rFonts w:cs="Times New Roman"/>
          <w:lang w:eastAsia="en-GB"/>
        </w:rPr>
        <w:t xml:space="preserve"> sauszemes teritorijas aizņem 746,53 tūkst.ha jeb 11,56 % Latvijas sauszemes kopplatības. Šīm teritorijām ir atšķirīgi aizsardzības un apsaimniekošanas režīmi – no minimāliem ierobežojumiem aizsargājamo ainavu apvidos līdz pat pilnīgam saimnieciskās darbības aizliegumam dabas rezervātos. Teritorijas ir uzskaitītas likuma "Par īpaši aizsargājamām dabas teritorijām" pielikumā. </w:t>
      </w:r>
    </w:p>
    <w:p w14:paraId="11EE9148" w14:textId="77777777" w:rsidR="005B6239" w:rsidRPr="00C241F3" w:rsidRDefault="005B6239" w:rsidP="005B6239">
      <w:pPr>
        <w:jc w:val="both"/>
        <w:rPr>
          <w:lang w:eastAsia="en-GB"/>
        </w:rPr>
      </w:pPr>
      <w:r w:rsidRPr="00C241F3">
        <w:rPr>
          <w:lang w:eastAsia="en-GB"/>
        </w:rPr>
        <w:t xml:space="preserve">Reizi sešos gados visas ES dalībvalstis gatavo ziņojumu Eiropas Komisijai par apdraudēto un īpaši aizsargājamo biotopu (turpmāk – dzīvotņu) un sugu stāvokli katrā valstī, ko nosaka Eiropas Padomes 1992. gada 21. maija direktīvas 92/43/EEK par Dabisko dzīvotņu, savvaļas faunas un floras aizsardzību 17. pants. Ziņojuma būtība ir novērtēt sasniegto ceļā uz valstu apņemšanos apturēt bioloģiskās daudzveidības samazināšanos. Ziņojumā tiek izvērtēts biotopu un sugu aizsardzības stāvoklis, ņemot vērā pēdējos sešos gados veiktos pētījumus un monitoringa datus, kā arī Eiropas Savienības (ES) nozīmes aizsargājamo biotopu izplatības un apzināšanas provizoriskos datus. Ziņojumā raksturots, cik tālu katras sugas vai biotopa esošā situācija atrodas no labvēlīga aizsardzības stāvokļa, uz kuru valstīm būtu jātiecas. Ziņojumā </w:t>
      </w:r>
      <w:r w:rsidRPr="00C241F3">
        <w:rPr>
          <w:lang w:eastAsia="en-GB"/>
        </w:rPr>
        <w:lastRenderedPageBreak/>
        <w:t>iekļauts vērtējums par 61 ES nozīmes aizsargājamo biotopu veidu, 59 sauszemes un diviem jūras biotopu veidiem, kā arī 112 ES nozīmes aizsargājamām sugām.</w:t>
      </w:r>
    </w:p>
    <w:p w14:paraId="08484383" w14:textId="77777777" w:rsidR="00EC5ADD" w:rsidRPr="004826D1" w:rsidRDefault="00EC5ADD" w:rsidP="00981103"/>
    <w:p w14:paraId="5752AF96" w14:textId="77777777" w:rsidR="00582022" w:rsidRPr="004826D1" w:rsidRDefault="00582022" w:rsidP="00582022">
      <w:pPr>
        <w:spacing w:after="120"/>
        <w:jc w:val="both"/>
        <w:rPr>
          <w:rFonts w:cs="Times New Roman"/>
          <w:lang w:eastAsia="en-GB"/>
        </w:rPr>
      </w:pPr>
      <w:r w:rsidRPr="004826D1">
        <w:rPr>
          <w:rFonts w:cs="Times New Roman"/>
          <w:lang w:eastAsia="en-GB"/>
        </w:rPr>
        <w:t xml:space="preserve">Pavisam Latvijā ir astoņas </w:t>
      </w:r>
      <w:r w:rsidR="001136FC" w:rsidRPr="004826D1">
        <w:rPr>
          <w:rFonts w:cs="Times New Roman"/>
          <w:lang w:eastAsia="en-GB"/>
        </w:rPr>
        <w:t xml:space="preserve">īpaši </w:t>
      </w:r>
      <w:r w:rsidRPr="004826D1">
        <w:rPr>
          <w:rFonts w:cs="Times New Roman"/>
          <w:lang w:eastAsia="en-GB"/>
        </w:rPr>
        <w:t xml:space="preserve">aizsargājamo dabas teritoriju kategorijas (skat. </w:t>
      </w:r>
      <w:r w:rsidR="009661E1">
        <w:rPr>
          <w:rFonts w:cs="Times New Roman"/>
          <w:lang w:eastAsia="en-GB"/>
        </w:rPr>
        <w:t>5.1</w:t>
      </w:r>
      <w:r w:rsidRPr="004826D1">
        <w:rPr>
          <w:rFonts w:cs="Times New Roman"/>
          <w:lang w:eastAsia="en-GB"/>
        </w:rPr>
        <w:t>. att</w:t>
      </w:r>
      <w:r w:rsidR="0050484E" w:rsidRPr="004826D1">
        <w:rPr>
          <w:rFonts w:cs="Times New Roman"/>
          <w:lang w:eastAsia="en-GB"/>
        </w:rPr>
        <w:t>.</w:t>
      </w:r>
      <w:r w:rsidRPr="004826D1">
        <w:rPr>
          <w:rFonts w:cs="Times New Roman"/>
          <w:lang w:eastAsia="en-GB"/>
        </w:rPr>
        <w:t>):</w:t>
      </w:r>
    </w:p>
    <w:p w14:paraId="1A26F3C6"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4 nacionālie parki;</w:t>
      </w:r>
    </w:p>
    <w:p w14:paraId="6362A415"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1 biosfēras rezervāts;</w:t>
      </w:r>
    </w:p>
    <w:p w14:paraId="5A3D9976"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42 dabas parki;</w:t>
      </w:r>
    </w:p>
    <w:p w14:paraId="083529EC"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9 aizsargājamo ainavu apvidi;</w:t>
      </w:r>
    </w:p>
    <w:p w14:paraId="7A960558"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261 dabas liegums;</w:t>
      </w:r>
    </w:p>
    <w:p w14:paraId="6857ED2A"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4 dabas rezervāti;</w:t>
      </w:r>
    </w:p>
    <w:p w14:paraId="10324931" w14:textId="77777777" w:rsidR="00582022" w:rsidRPr="004826D1" w:rsidRDefault="006710B4" w:rsidP="00B71063">
      <w:pPr>
        <w:numPr>
          <w:ilvl w:val="0"/>
          <w:numId w:val="20"/>
        </w:numPr>
        <w:spacing w:after="120"/>
        <w:jc w:val="both"/>
        <w:rPr>
          <w:rFonts w:cs="Times New Roman"/>
          <w:lang w:eastAsia="en-GB"/>
        </w:rPr>
      </w:pPr>
      <w:r w:rsidRPr="004826D1">
        <w:rPr>
          <w:rFonts w:cs="Times New Roman"/>
          <w:lang w:eastAsia="en-GB"/>
        </w:rPr>
        <w:t>7 </w:t>
      </w:r>
      <w:r w:rsidR="00582022" w:rsidRPr="004826D1">
        <w:rPr>
          <w:rFonts w:cs="Times New Roman"/>
          <w:lang w:eastAsia="en-GB"/>
        </w:rPr>
        <w:t>aizsargājamās jūras teritorijas;</w:t>
      </w:r>
    </w:p>
    <w:p w14:paraId="742E839C"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327 dabas pieminekļi.</w:t>
      </w:r>
      <w:r w:rsidRPr="004826D1">
        <w:rPr>
          <w:rStyle w:val="FootnoteReference"/>
          <w:szCs w:val="24"/>
          <w:lang w:eastAsia="en-GB"/>
        </w:rPr>
        <w:footnoteReference w:id="50"/>
      </w:r>
    </w:p>
    <w:p w14:paraId="377BFB52" w14:textId="0E712335" w:rsidR="00582022" w:rsidRPr="004826D1" w:rsidRDefault="000654E1" w:rsidP="00582022">
      <w:pPr>
        <w:spacing w:after="120"/>
        <w:jc w:val="both"/>
        <w:rPr>
          <w:rFonts w:cs="Times New Roman"/>
          <w:szCs w:val="24"/>
          <w:lang w:eastAsia="en-GB"/>
        </w:rPr>
      </w:pPr>
      <w:r>
        <w:rPr>
          <w:rFonts w:cs="Times New Roman"/>
          <w:noProof/>
          <w:szCs w:val="24"/>
          <w:lang w:eastAsia="lv-LV"/>
        </w:rPr>
        <w:drawing>
          <wp:inline distT="0" distB="0" distL="0" distR="0" wp14:anchorId="0060826D" wp14:editId="04DC31DA">
            <wp:extent cx="5857875" cy="3514725"/>
            <wp:effectExtent l="0" t="0" r="9525" b="9525"/>
            <wp:docPr id="38"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7875" cy="3514725"/>
                    </a:xfrm>
                    <a:prstGeom prst="rect">
                      <a:avLst/>
                    </a:prstGeom>
                    <a:noFill/>
                    <a:ln>
                      <a:noFill/>
                    </a:ln>
                  </pic:spPr>
                </pic:pic>
              </a:graphicData>
            </a:graphic>
          </wp:inline>
        </w:drawing>
      </w:r>
    </w:p>
    <w:p w14:paraId="2A65582D" w14:textId="77777777" w:rsidR="00582022" w:rsidRPr="004826D1" w:rsidRDefault="009661E1" w:rsidP="0050484E">
      <w:pPr>
        <w:spacing w:after="120"/>
        <w:rPr>
          <w:rFonts w:cs="Times New Roman"/>
          <w:b/>
          <w:szCs w:val="24"/>
          <w:lang w:eastAsia="en-GB"/>
        </w:rPr>
      </w:pPr>
      <w:r>
        <w:rPr>
          <w:rFonts w:cs="Times New Roman"/>
          <w:b/>
          <w:szCs w:val="24"/>
          <w:lang w:eastAsia="en-GB"/>
        </w:rPr>
        <w:t>5.1</w:t>
      </w:r>
      <w:r w:rsidR="00582022" w:rsidRPr="004826D1">
        <w:rPr>
          <w:rFonts w:cs="Times New Roman"/>
          <w:b/>
          <w:szCs w:val="24"/>
          <w:lang w:eastAsia="en-GB"/>
        </w:rPr>
        <w:t>.</w:t>
      </w:r>
      <w:r w:rsidR="0050484E" w:rsidRPr="004826D1">
        <w:rPr>
          <w:rFonts w:cs="Times New Roman"/>
          <w:b/>
          <w:szCs w:val="24"/>
          <w:lang w:eastAsia="en-GB"/>
        </w:rPr>
        <w:t> </w:t>
      </w:r>
      <w:r w:rsidR="00582022" w:rsidRPr="004826D1">
        <w:rPr>
          <w:rFonts w:cs="Times New Roman"/>
          <w:b/>
          <w:szCs w:val="24"/>
          <w:lang w:eastAsia="en-GB"/>
        </w:rPr>
        <w:t xml:space="preserve">attēls. Īpaši aizsargājamās dabas teritorijas Latvijā </w:t>
      </w:r>
      <w:r w:rsidR="00582022" w:rsidRPr="004826D1">
        <w:rPr>
          <w:rFonts w:cs="Times New Roman"/>
          <w:szCs w:val="24"/>
          <w:lang w:eastAsia="en-GB"/>
        </w:rPr>
        <w:t xml:space="preserve">(Dabas aizsardzības pārvalde) </w:t>
      </w:r>
    </w:p>
    <w:p w14:paraId="0CF47298" w14:textId="77777777" w:rsidR="00582022" w:rsidRPr="004826D1" w:rsidRDefault="00582022" w:rsidP="00582022">
      <w:pPr>
        <w:spacing w:after="120"/>
        <w:jc w:val="both"/>
        <w:rPr>
          <w:rFonts w:cs="Times New Roman"/>
          <w:szCs w:val="24"/>
          <w:lang w:eastAsia="en-GB"/>
        </w:rPr>
      </w:pPr>
    </w:p>
    <w:p w14:paraId="18DCE632" w14:textId="77777777" w:rsidR="00477D27" w:rsidRPr="004826D1" w:rsidRDefault="00582022" w:rsidP="00477D27">
      <w:pPr>
        <w:spacing w:after="120"/>
        <w:jc w:val="both"/>
        <w:rPr>
          <w:rFonts w:cs="Times New Roman"/>
          <w:szCs w:val="24"/>
          <w:lang w:eastAsia="en-GB"/>
        </w:rPr>
      </w:pPr>
      <w:r w:rsidRPr="004826D1">
        <w:rPr>
          <w:rFonts w:cs="Times New Roman"/>
          <w:szCs w:val="24"/>
          <w:lang w:eastAsia="en-GB"/>
        </w:rPr>
        <w:t>Īpaši aizsargājamajās dabas teritorijās vislielāko platību aizņem meži (49%) un lauksaimniecības zeme (24%), savukārt 12% – ūdeņi, 14% – purvi un 1% – citi biotopi. 346 no augstākminētajām īpaši aizsargājam</w:t>
      </w:r>
      <w:r w:rsidR="001136FC" w:rsidRPr="004826D1">
        <w:rPr>
          <w:rFonts w:cs="Times New Roman"/>
          <w:szCs w:val="24"/>
          <w:lang w:eastAsia="en-GB"/>
        </w:rPr>
        <w:t>aj</w:t>
      </w:r>
      <w:r w:rsidRPr="004826D1">
        <w:rPr>
          <w:rFonts w:cs="Times New Roman"/>
          <w:szCs w:val="24"/>
          <w:lang w:eastAsia="en-GB"/>
        </w:rPr>
        <w:t>ām dabas teritorijām ir iekļautas Natura 2000 teritoriju tīklā. Tās kopā aizņem 12% jeb 793265 ha no Latvijas kopplatības. Šīm teritorijām ir atšķirīgi aizsardzības un apsaimniekošanas režīmi – no minimāliem ierobežojumiem aizsargājamo ainavu apvidos līdz pat pilnīgam saimnieciskās darbības aizliegumam dabas rezervātos.</w:t>
      </w:r>
      <w:r w:rsidR="00D90D41" w:rsidRPr="004826D1">
        <w:rPr>
          <w:rFonts w:cs="Times New Roman"/>
          <w:szCs w:val="24"/>
          <w:lang w:eastAsia="en-GB"/>
        </w:rPr>
        <w:t xml:space="preserve"> Natura 2000 tīklā ir iekļautas 333 teritorijas, kas kopumā aizņem 12% Latvijas valsts sauszemes teritorijas un ap 35% Latvijas teritoriālo ūdeņu. Natura 2000 tīklā Latvijā ir iekļautas 333 teritorijas: 4 dabas rezervāti, 4 nacionālie parki, 239 dabas liegumi, 37 dabas </w:t>
      </w:r>
      <w:r w:rsidR="00D90D41" w:rsidRPr="004826D1">
        <w:rPr>
          <w:rFonts w:cs="Times New Roman"/>
          <w:szCs w:val="24"/>
          <w:lang w:eastAsia="en-GB"/>
        </w:rPr>
        <w:lastRenderedPageBreak/>
        <w:t>parki, 9 aizsargājamo ainavu apvidi, 7 aizsargājamās jūras teritorijas, 9 dabas pieminekļi un 24 mikroliegumi.</w:t>
      </w:r>
    </w:p>
    <w:p w14:paraId="6D77CFBF" w14:textId="77777777" w:rsidR="00477D27" w:rsidRPr="004826D1" w:rsidRDefault="00477D27" w:rsidP="00477D27">
      <w:pPr>
        <w:spacing w:after="120"/>
        <w:jc w:val="both"/>
      </w:pPr>
      <w:r w:rsidRPr="004826D1">
        <w:t xml:space="preserve">Paredzamās vēja enerģijas attīstības iespējamajām nelabvēlīgajām ietekmēm potenciāli pakļautās dabas vērtības ir lidojošie mugurkaulnieki: putni un sikspārņi. Diemžēl Latvijā nav veikts monitorings par VES izraisīto lidojošo mugurkaulnieku tiešu bojāeju vai citām, netiešām ietekmēm, kas faktiski nav arī iespējams, jo pagaidām Latvijā ir pārāk maz VES, lai šāds monitorings būtu reprezentatīvs. </w:t>
      </w:r>
      <w:r w:rsidR="000812DA" w:rsidRPr="004826D1">
        <w:t xml:space="preserve">Līdz ar to </w:t>
      </w:r>
      <w:r w:rsidR="00E621E3" w:rsidRPr="004826D1">
        <w:t>šīs dabas bagātības vērtējums katrā konkrētā paredzēta VES parka vietā jāveic atsevišķi tā ietekmes uz vidi novērtējumā.</w:t>
      </w:r>
    </w:p>
    <w:p w14:paraId="2869CC72" w14:textId="77777777" w:rsidR="00477D27" w:rsidRPr="004826D1" w:rsidRDefault="00477D27" w:rsidP="00582022">
      <w:pPr>
        <w:jc w:val="both"/>
        <w:rPr>
          <w:rFonts w:cs="Times New Roman"/>
          <w:szCs w:val="24"/>
          <w:lang w:eastAsia="en-GB"/>
        </w:rPr>
      </w:pPr>
    </w:p>
    <w:p w14:paraId="7DD50734" w14:textId="77777777" w:rsidR="00EC5ADD" w:rsidRPr="004826D1" w:rsidRDefault="00EC5ADD" w:rsidP="00EC5ADD">
      <w:pPr>
        <w:pStyle w:val="Heading2"/>
        <w:spacing w:after="120"/>
        <w:jc w:val="both"/>
        <w:rPr>
          <w:rFonts w:ascii="Times New Roman" w:hAnsi="Times New Roman"/>
          <w:lang w:val="lv-LV"/>
        </w:rPr>
      </w:pPr>
      <w:bookmarkStart w:id="208" w:name="_Toc169602279"/>
      <w:r w:rsidRPr="004826D1">
        <w:rPr>
          <w:rFonts w:ascii="Times New Roman" w:hAnsi="Times New Roman"/>
          <w:lang w:val="lv-LV"/>
        </w:rPr>
        <w:t>5.</w:t>
      </w:r>
      <w:r w:rsidR="00E851B9" w:rsidRPr="004826D1">
        <w:rPr>
          <w:rFonts w:ascii="Times New Roman" w:hAnsi="Times New Roman"/>
          <w:lang w:val="lv-LV"/>
        </w:rPr>
        <w:t>2</w:t>
      </w:r>
      <w:r w:rsidRPr="004826D1">
        <w:rPr>
          <w:rFonts w:ascii="Times New Roman" w:hAnsi="Times New Roman"/>
          <w:lang w:val="lv-LV"/>
        </w:rPr>
        <w:t xml:space="preserve"> Meža resursi</w:t>
      </w:r>
      <w:bookmarkEnd w:id="208"/>
      <w:r w:rsidR="00E3794A" w:rsidRPr="004826D1">
        <w:rPr>
          <w:rFonts w:ascii="Times New Roman" w:hAnsi="Times New Roman"/>
          <w:lang w:val="lv-LV"/>
        </w:rPr>
        <w:t xml:space="preserve"> </w:t>
      </w:r>
    </w:p>
    <w:p w14:paraId="70825544" w14:textId="77777777" w:rsidR="005B6239" w:rsidRPr="00C241F3" w:rsidRDefault="005B6239" w:rsidP="005B6239">
      <w:pPr>
        <w:spacing w:after="120"/>
        <w:jc w:val="both"/>
        <w:rPr>
          <w:rFonts w:cs="Times New Roman"/>
          <w:lang w:eastAsia="en-GB"/>
        </w:rPr>
      </w:pPr>
      <w:r w:rsidRPr="00C241F3">
        <w:rPr>
          <w:rFonts w:cs="Times New Roman"/>
          <w:lang w:eastAsia="en-GB"/>
        </w:rPr>
        <w:t>Mež</w:t>
      </w:r>
      <w:r>
        <w:rPr>
          <w:rFonts w:cs="Times New Roman"/>
          <w:lang w:eastAsia="en-GB"/>
        </w:rPr>
        <w:t>a zeme</w:t>
      </w:r>
      <w:r w:rsidRPr="004826D1">
        <w:rPr>
          <w:rFonts w:cs="Times New Roman"/>
          <w:lang w:eastAsia="en-GB"/>
        </w:rPr>
        <w:t xml:space="preserve"> (meži, purvi, lauces u.c.) </w:t>
      </w:r>
      <w:r w:rsidRPr="00C241F3">
        <w:rPr>
          <w:rFonts w:cs="Times New Roman"/>
          <w:lang w:eastAsia="en-GB"/>
        </w:rPr>
        <w:t>aizņem 51-52% valsts teritorijas. Gandrīz divas trešdaļas mežu platību veido skujkoku meži. Latvijas mežaudzi pārsvarā veido skuju koki ar divām valdošām sugām – priedi un egli. Skuju koki aizņem 54% no visu audžu platībām, bērzu audzes – 30%, baltalkšņu audzes – 7% un apšu audzes – 4%. Pārējās platības ir klātas ar osi (1%), ozolu (&gt;0,1%) un citām sugām (&gt;0,1%). Valsts mežos skuju koku audzes aizņem 70%, bet pārejos mežos – 38%, kas privātajos, pašvaldības u.c. mežos, kas nav klasificēti kā valsts meži, ir vienlīdzīgs bērzu audžu īpatsvaram. Saimnieciskās darbības rezultātā izmainījusies koku sugu sastāva struktūra mežā: ievērojamās platībās dominē bērzs, privātajos mežos palielinājies baltalkšņa un apses īpatsvars, niecīgā platībā saglabājušās vecas ozolu un ošu audzes. Pavisam maz ir vietu, kurās mežs nav cilvēka darbības ietekmēts.</w:t>
      </w:r>
    </w:p>
    <w:p w14:paraId="530E09D0" w14:textId="77777777" w:rsidR="005B6239" w:rsidRPr="00C241F3" w:rsidRDefault="005B6239" w:rsidP="005B6239">
      <w:pPr>
        <w:spacing w:after="120"/>
        <w:jc w:val="both"/>
        <w:rPr>
          <w:rFonts w:cs="Times New Roman"/>
          <w:lang w:eastAsia="en-GB"/>
        </w:rPr>
      </w:pPr>
      <w:r w:rsidRPr="00C241F3">
        <w:rPr>
          <w:rFonts w:cs="Times New Roman"/>
          <w:lang w:eastAsia="en-GB"/>
        </w:rPr>
        <w:t>Mežizstrāde un kokapstrādes rūpniecība ir viena no nozīmīgākajām tautsaimniecības nozarēm. Pēdējos gados vērojama tendence palielināties mežu izmantošanas intensitātei, kas skaidrojams ar pieaugušu un pāraugušu mežaudžu uzkrāšanos. Savukārt meža zemju platības pieaugumu raksturo meža ieaudzēšana lauksaimniecībā neizmantotās zemēs. Galvenās ieaudzētās koku sugas ir egle (&gt;60%), bērzs (~25%) un priede (~10%).</w:t>
      </w:r>
    </w:p>
    <w:p w14:paraId="5C9B50FE"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Bez meža ieaudzēšanas lauksaimniecībā neizmantotajās zemēs, notiek arī mežu atjaunošana, kas 2011. gadā tika īstenota 35,2 tūkst. ha platībās. Mežu atjaunošana notiek ar piecām galvenajām, saimnieciski izmantojamām koku sugām – bērzu, egli, priedi, apsi un baltalksni. </w:t>
      </w:r>
    </w:p>
    <w:p w14:paraId="4D7F17B5" w14:textId="77777777" w:rsidR="005B6239" w:rsidRPr="00C241F3" w:rsidRDefault="005B6239" w:rsidP="005B6239">
      <w:pPr>
        <w:spacing w:after="120"/>
        <w:jc w:val="both"/>
        <w:rPr>
          <w:rFonts w:cs="Times New Roman"/>
          <w:lang w:eastAsia="en-GB"/>
        </w:rPr>
      </w:pPr>
      <w:r w:rsidRPr="00C241F3">
        <w:rPr>
          <w:rFonts w:cs="Times New Roman"/>
          <w:lang w:eastAsia="en-GB"/>
        </w:rPr>
        <w:t>Ilgstošas tradicionālas mežu apsaimniekošanas rezultātā Latvijā tikai ļoti nelielās mežu platībās ir saglabājušies tādi apstākļi, kas raksturīgi dabiskiem, neskartiem mežiem. Šādu mežu saglabāšana ir viena no nozīmīgākajām prioritātēm bioloģiskās daudzveidības aizsardzībā. Virkne sugu mežos ir saistītas tikai ar veciem kokiem, kritalām, saimnieciskās darbības neskartu zemsedzi un krūmu stāvu.</w:t>
      </w:r>
    </w:p>
    <w:p w14:paraId="1FBD6920" w14:textId="77777777" w:rsidR="005B6239" w:rsidRPr="00C241F3" w:rsidRDefault="005B6239" w:rsidP="005B6239">
      <w:pPr>
        <w:spacing w:after="120"/>
        <w:jc w:val="both"/>
        <w:rPr>
          <w:rFonts w:cs="Times New Roman"/>
          <w:lang w:eastAsia="en-GB"/>
        </w:rPr>
      </w:pPr>
      <w:r w:rsidRPr="00C241F3">
        <w:rPr>
          <w:rFonts w:cs="Times New Roman"/>
          <w:lang w:eastAsia="en-GB"/>
        </w:rPr>
        <w:t>Latvijas meži lielākoties ir dabiski, 14% ir stādīti meži. Tie ir ļoti daudzveidīgi un nodrošina dažādus ekosistēmu pakalpojumus, tostarp biotopu, dzīvotņu, oglekļa piesaistes, ūdens regulēšanas un kvalitātes, erozijas novēršanas u.c. Latvijas mežos ir trīs galvenās koku sugas: priedes (33%), bērzi (30%) un egles (19%) (ZM, Meža nozare skaitļos un faktos 2020).</w:t>
      </w:r>
    </w:p>
    <w:p w14:paraId="4076B975" w14:textId="77777777" w:rsidR="005B6239" w:rsidRPr="00C241F3" w:rsidRDefault="005B6239" w:rsidP="005B6239">
      <w:pPr>
        <w:spacing w:after="120"/>
        <w:jc w:val="both"/>
        <w:rPr>
          <w:rFonts w:cs="Times New Roman"/>
          <w:szCs w:val="24"/>
          <w:lang w:eastAsia="lv-LV" w:bidi="lo-LA"/>
        </w:rPr>
      </w:pPr>
      <w:r w:rsidRPr="00C241F3">
        <w:rPr>
          <w:rFonts w:cs="Times New Roman"/>
          <w:lang w:eastAsia="en-GB"/>
        </w:rPr>
        <w:t>Mežu dinamiskā ekosistēma ieņem svarīgu lomu bioloģiskās daudzveidības kontekstā, tai piemīt ūdeni aizsargājošas un gaisa kvalitātes uzlabošanai būtiskas īpašības, kā arī meži pasargā augsni no erozijas.</w:t>
      </w:r>
      <w:r w:rsidRPr="00C241F3">
        <w:rPr>
          <w:rFonts w:cs="Times New Roman"/>
        </w:rPr>
        <w:t xml:space="preserve"> </w:t>
      </w:r>
      <w:r w:rsidRPr="00C241F3">
        <w:rPr>
          <w:rFonts w:cs="Times New Roman"/>
          <w:lang w:eastAsia="en-GB"/>
        </w:rPr>
        <w:t>Visās organismu grupās, par kurām ir pieejama informācija, ar mežu saistīti 17-84% aizsargājamo sugu.</w:t>
      </w:r>
    </w:p>
    <w:p w14:paraId="25B58643"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Latvijas mežu bioloģisko daudzveidību ir veidojusi un uztur tradicionālā Latvijas mežsaimniecība – mazo kailciršu sistēma ar relatīvi garu cirtes aprites periodu, mijiedarbībā ar cilvēka maz ietekmētu meža teritoriju tīklu. Aizsargājamās teritorijas un teritorijas ar dažādiem saimnieciskās darbības ierobežojumiem Latvijā aizņem 28,2% no kopējās mežu platības. Dabas vērtību saglabāšanai izveidotas Īpaši aizsargājamās dabas teritorijas, kopskaitā 683. Daļa no šim teritorijām ir iekļautas vienotajā Eiropas nozīmes aizsargājamo teritoriju tīklā </w:t>
      </w:r>
      <w:r w:rsidRPr="00A804CC">
        <w:rPr>
          <w:rFonts w:cs="Times New Roman"/>
          <w:i/>
          <w:lang w:eastAsia="en-GB"/>
        </w:rPr>
        <w:t>Natura 2000</w:t>
      </w:r>
      <w:r w:rsidRPr="00C241F3">
        <w:rPr>
          <w:rFonts w:cs="Times New Roman"/>
          <w:lang w:eastAsia="en-GB"/>
        </w:rPr>
        <w:t xml:space="preserve"> (ZM, Meža nozare skaitļos un faktos 2020).</w:t>
      </w:r>
    </w:p>
    <w:p w14:paraId="3FEC7A21" w14:textId="77777777" w:rsidR="005B6239" w:rsidRPr="00C241F3" w:rsidRDefault="005B6239" w:rsidP="005B6239">
      <w:pPr>
        <w:spacing w:after="120"/>
        <w:jc w:val="both"/>
        <w:rPr>
          <w:rFonts w:cs="Times New Roman"/>
          <w:lang w:eastAsia="en-GB"/>
        </w:rPr>
      </w:pPr>
      <w:r w:rsidRPr="00A804CC">
        <w:rPr>
          <w:rFonts w:cs="Times New Roman"/>
          <w:i/>
          <w:lang w:eastAsia="en-GB"/>
        </w:rPr>
        <w:lastRenderedPageBreak/>
        <w:t>Natura 2000</w:t>
      </w:r>
      <w:r w:rsidRPr="00C241F3">
        <w:rPr>
          <w:rFonts w:cs="Times New Roman"/>
          <w:lang w:eastAsia="en-GB"/>
        </w:rPr>
        <w:t xml:space="preserve"> teritorijās un mikroliegumos mežsaimnieciskā darbība ierobežota šādās platībās (kopā: 67 702 ha):</w:t>
      </w:r>
    </w:p>
    <w:p w14:paraId="6E1609E5" w14:textId="77777777" w:rsidR="005B6239" w:rsidRPr="00C241F3" w:rsidRDefault="005B6239" w:rsidP="005B6239">
      <w:pPr>
        <w:spacing w:after="120"/>
        <w:ind w:left="720"/>
        <w:jc w:val="both"/>
        <w:rPr>
          <w:rFonts w:cs="Times New Roman"/>
          <w:lang w:eastAsia="en-GB"/>
        </w:rPr>
      </w:pPr>
      <w:r w:rsidRPr="00C241F3">
        <w:rPr>
          <w:rFonts w:cs="Times New Roman"/>
          <w:lang w:eastAsia="en-GB"/>
        </w:rPr>
        <w:t>• aizliegta mežsaimnieciskā darbība, aizliegta galvenā cirte un kopšanas cirte: 16 322 ha (tai skaitā mikroliegumi 2 360 ha);</w:t>
      </w:r>
    </w:p>
    <w:p w14:paraId="5E868216" w14:textId="77777777" w:rsidR="005B6239" w:rsidRPr="00C241F3" w:rsidRDefault="005B6239" w:rsidP="005B6239">
      <w:pPr>
        <w:spacing w:after="120"/>
        <w:ind w:left="720"/>
        <w:jc w:val="both"/>
        <w:rPr>
          <w:rFonts w:cs="Times New Roman"/>
          <w:lang w:eastAsia="en-GB"/>
        </w:rPr>
      </w:pPr>
      <w:r w:rsidRPr="00C241F3">
        <w:rPr>
          <w:rFonts w:cs="Times New Roman"/>
          <w:lang w:eastAsia="en-GB"/>
        </w:rPr>
        <w:t>• aizliegta galvenā cirte: 6 597 ha;</w:t>
      </w:r>
    </w:p>
    <w:p w14:paraId="69397569" w14:textId="77777777" w:rsidR="005B6239" w:rsidRPr="00C241F3" w:rsidRDefault="005B6239" w:rsidP="005B6239">
      <w:pPr>
        <w:spacing w:after="120"/>
        <w:ind w:left="720"/>
        <w:jc w:val="both"/>
        <w:rPr>
          <w:rFonts w:cs="Times New Roman"/>
          <w:lang w:eastAsia="en-GB"/>
        </w:rPr>
      </w:pPr>
      <w:r w:rsidRPr="00C241F3">
        <w:rPr>
          <w:rFonts w:cs="Times New Roman"/>
          <w:lang w:eastAsia="en-GB"/>
        </w:rPr>
        <w:t>• aizliegta kailcirte: 44 783 ha.</w:t>
      </w:r>
    </w:p>
    <w:p w14:paraId="5C5A1ACE"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Atsevišķu ārpus </w:t>
      </w:r>
      <w:r w:rsidRPr="00A804CC">
        <w:rPr>
          <w:rFonts w:cs="Times New Roman"/>
          <w:i/>
          <w:lang w:eastAsia="en-GB"/>
        </w:rPr>
        <w:t>Natura 2000</w:t>
      </w:r>
      <w:r w:rsidRPr="00C241F3">
        <w:rPr>
          <w:rFonts w:cs="Times New Roman"/>
          <w:lang w:eastAsia="en-GB"/>
        </w:rPr>
        <w:t xml:space="preserve"> mežu teritorijām esošu biotopu un dzīvotņu aizsardzībai ir izveidoti mikroliegumi. Noteikto mērķu sasniegšanai šajās teritorijās ir noteikti saimnieciskās darbības ierobežojumi, tāpēc nepieciešams kompensēt mežsaimnieciskās darbības ierobežojumu dēļ neiegūtos ieņēmumus teritorijās, kas nodrošina direktīvu 92/43/EEK un 2009/147/EK prasību īstenošanu.</w:t>
      </w:r>
    </w:p>
    <w:p w14:paraId="07C32CA0" w14:textId="77777777" w:rsidR="005B6239" w:rsidRPr="00C241F3" w:rsidRDefault="005B6239" w:rsidP="005B6239">
      <w:pPr>
        <w:spacing w:after="120"/>
        <w:jc w:val="both"/>
        <w:rPr>
          <w:rFonts w:cs="Times New Roman"/>
          <w:lang w:eastAsia="en-GB"/>
        </w:rPr>
      </w:pPr>
      <w:r w:rsidRPr="00C241F3">
        <w:rPr>
          <w:rFonts w:cs="Times New Roman"/>
          <w:lang w:eastAsia="en-GB"/>
        </w:rPr>
        <w:t>Atbilstoši Latvijas meža politikai, privātajiem meža īpašniekiem ir tiesības saņemt kompensāciju par saimnieciskās darbības ierobežojumiem. LAP 2020 ietvaros tiek īstenots atbalsta pasākums “</w:t>
      </w:r>
      <w:r w:rsidRPr="00A804CC">
        <w:rPr>
          <w:rFonts w:cs="Times New Roman"/>
          <w:i/>
          <w:lang w:eastAsia="en-GB"/>
        </w:rPr>
        <w:t>Natura 2000</w:t>
      </w:r>
      <w:r w:rsidRPr="00C241F3">
        <w:rPr>
          <w:rFonts w:cs="Times New Roman"/>
          <w:lang w:eastAsia="en-GB"/>
        </w:rPr>
        <w:t xml:space="preserve"> maksājumi meža īpašniekiem”, kura ietvaros ikgadēji tiek kompensēti būtiski mežsaimnieciskās darbības ierobežojumi </w:t>
      </w:r>
      <w:r w:rsidRPr="00A804CC">
        <w:rPr>
          <w:rFonts w:cs="Times New Roman"/>
          <w:i/>
          <w:lang w:eastAsia="en-GB"/>
        </w:rPr>
        <w:t>Natura 2000</w:t>
      </w:r>
      <w:r w:rsidRPr="00C241F3">
        <w:rPr>
          <w:rFonts w:cs="Times New Roman"/>
          <w:lang w:eastAsia="en-GB"/>
        </w:rPr>
        <w:t xml:space="preserve"> teritorijās vai mikroliegumos. LAP noteiktais sasniedzamais rādītājs platībām, par kurām tiek piešķirts atbalsts, ir 40 000 ha. Atbalstam 2018.gadā pieteikti un apmaksāti 44,3 tūkst. ha, kas ir 111% no LAP mērķa. Šobrīd Latvijā darbojas kompensāciju sistēma, kas ļauj zemes īpašniekam saņemt ikgadēju kompensāciju. Taču aktualizējusies diskusija par kompensācijas apmēru, uzsverot to, ka līdzšinējā pieeja nedod iespēju gūt visu ienākumu uzreiz, kā tas notiktu, nocērtot mežu. Ir nepieciešams pilnveidot kompensāciju sistēmu, to papildinot ar citiem mehānismiem, kas zemes īpašniekiem dod iespēju saņemt tūlītēju un samērīgu kompensāciju par noteiktajiem mežsaimnieciskās darbības ierobežojumiem īpašumā.</w:t>
      </w:r>
    </w:p>
    <w:p w14:paraId="6593BD28" w14:textId="77777777" w:rsidR="005B6239" w:rsidRPr="00C241F3" w:rsidRDefault="005B6239" w:rsidP="005B6239">
      <w:pPr>
        <w:spacing w:after="120"/>
        <w:jc w:val="both"/>
        <w:rPr>
          <w:rFonts w:cs="Times New Roman"/>
          <w:lang w:eastAsia="en-GB"/>
        </w:rPr>
      </w:pPr>
      <w:r w:rsidRPr="00C241F3">
        <w:rPr>
          <w:rFonts w:cs="Times New Roman"/>
          <w:lang w:eastAsia="en-GB"/>
        </w:rPr>
        <w:t>Kopējā valsts SEG emisiju bilancē svarīga ir CO</w:t>
      </w:r>
      <w:r w:rsidRPr="00C241F3">
        <w:rPr>
          <w:rFonts w:cs="Times New Roman"/>
          <w:vertAlign w:val="subscript"/>
          <w:lang w:eastAsia="en-GB"/>
        </w:rPr>
        <w:t>2</w:t>
      </w:r>
      <w:r w:rsidRPr="00C241F3">
        <w:rPr>
          <w:rFonts w:cs="Times New Roman"/>
          <w:lang w:eastAsia="en-GB"/>
        </w:rPr>
        <w:t xml:space="preserve"> piesaiste/uzkrāšana, kur vislielākā ietekme ir meža nozarei un ZIZIMM sektoram kopumā. Lauksaimniecībā izmantojamās zemēs oglekļa piesaisti ietekmē zemes lietojuma veids, platība, audzētās kultūras un ražība. Mainot zemes lietojuma veidu, notiek oglekļa krājumu izmaiņas augsnē. Piemēram, mežaudžu izveidošana mazproduktīvās platībās ievērojami palielina CO</w:t>
      </w:r>
      <w:r w:rsidRPr="00C241F3">
        <w:rPr>
          <w:rFonts w:cs="Times New Roman"/>
          <w:vertAlign w:val="subscript"/>
          <w:lang w:eastAsia="en-GB"/>
        </w:rPr>
        <w:t>2</w:t>
      </w:r>
      <w:r w:rsidRPr="00C241F3">
        <w:rPr>
          <w:rFonts w:cs="Times New Roman"/>
          <w:lang w:eastAsia="en-GB"/>
        </w:rPr>
        <w:t xml:space="preserve"> piesaisti (LLU, 2017) Oglekļa piesaistīšanas spēja augošajai biomasai zālājos parasti ir augstāka nekā biomasai apstrādātā augsnē (aramzemē). Tomēr dati SEG inventarizācijas ziņojumos par SEG emisijām un oglekļa dioksīda piesaisti liecina, ka SEG emisiju bilance gan zālājiem, gan aramzemei ir pozitīva, t.i. SEG emisijas galvenokārt no organiskajām augsnēm daudzkārt pārsniedz augošās biomasas CO</w:t>
      </w:r>
      <w:r w:rsidRPr="00C241F3">
        <w:rPr>
          <w:rFonts w:cs="Times New Roman"/>
          <w:vertAlign w:val="subscript"/>
          <w:lang w:eastAsia="en-GB"/>
        </w:rPr>
        <w:t>2</w:t>
      </w:r>
      <w:r w:rsidRPr="00C241F3">
        <w:rPr>
          <w:rFonts w:cs="Times New Roman"/>
          <w:lang w:eastAsia="en-GB"/>
        </w:rPr>
        <w:t xml:space="preserve"> piesaistes spēju.</w:t>
      </w:r>
    </w:p>
    <w:p w14:paraId="6FCC88DC" w14:textId="77777777" w:rsidR="005B6239" w:rsidRPr="00C241F3" w:rsidRDefault="005B6239" w:rsidP="005B6239">
      <w:pPr>
        <w:spacing w:after="120"/>
        <w:jc w:val="both"/>
        <w:rPr>
          <w:rFonts w:cs="Times New Roman"/>
          <w:lang w:eastAsia="en-GB"/>
        </w:rPr>
      </w:pPr>
      <w:r w:rsidRPr="00C241F3">
        <w:rPr>
          <w:rFonts w:cs="Times New Roman"/>
          <w:lang w:eastAsia="en-GB"/>
        </w:rPr>
        <w:t>Kopējās SEG emisijas ZIZIMM sektorā 2017. gadā bija -1706,85 kt CO</w:t>
      </w:r>
      <w:r w:rsidRPr="00C241F3">
        <w:rPr>
          <w:rFonts w:cs="Times New Roman"/>
          <w:vertAlign w:val="subscript"/>
          <w:lang w:eastAsia="en-GB"/>
        </w:rPr>
        <w:t>2</w:t>
      </w:r>
      <w:r w:rsidRPr="00C241F3">
        <w:rPr>
          <w:rFonts w:cs="Times New Roman"/>
          <w:lang w:eastAsia="en-GB"/>
        </w:rPr>
        <w:t xml:space="preserve"> ekv.. SEG kopējā neto piesaiste 2017. gadā samazinājās par 83% salīdzinājumā ar 1990. gadu, ko veicinājis, galvenokārt, mežizstrādes apjoma pieaugums, mežu novecošanās, meža zemju transformācija par apdzīvotām vietām, dabiski apmežotu zemju transformācija par aramzemēm un ganībām. Zemes lietojuma pārveidošana par aramzemi ir saistīta galvenokārt ar koksnes veģetācijas atdalīšanu no dabiski apmežotas lauksaimniecības zemes, kas pamesta 1980. un 1990. gados. Lai gan dzīvās biomasas pieaugums meža zemē un apmežotajā zemē joprojām ir lielāks nekā oglekļa zudumi komerciālās cirtes un dabiskās mirstības dēļ, atšķirība starp guvumiem un zaudējumiem samazinās, samazinot CO</w:t>
      </w:r>
      <w:r w:rsidRPr="00C241F3">
        <w:rPr>
          <w:rFonts w:cs="Times New Roman"/>
          <w:vertAlign w:val="subscript"/>
          <w:lang w:eastAsia="en-GB"/>
        </w:rPr>
        <w:t>2</w:t>
      </w:r>
      <w:r w:rsidRPr="00C241F3">
        <w:rPr>
          <w:rFonts w:cs="Times New Roman"/>
          <w:lang w:eastAsia="en-GB"/>
        </w:rPr>
        <w:t xml:space="preserve"> neto izdalīšanos meža zemēs. Tādējādi kopējais dzīvās biomasas apjoms meža zemēs aizvien pieaug. Kopsavilkums par neto emisijām, ieskaitot nocirstas koksnes produktus, redzams 1.12. attēlā. Kopējās SEG emisiju svārstības pēdējo gadu laikā (piemēram, maksimums 2014. gadā) galvenokārt ir saistītas ar ikgadējām CO</w:t>
      </w:r>
      <w:r w:rsidRPr="00C241F3">
        <w:rPr>
          <w:rFonts w:cs="Times New Roman"/>
          <w:vertAlign w:val="subscript"/>
          <w:lang w:eastAsia="en-GB"/>
        </w:rPr>
        <w:t>2</w:t>
      </w:r>
      <w:r w:rsidRPr="00C241F3">
        <w:rPr>
          <w:rFonts w:cs="Times New Roman"/>
          <w:lang w:eastAsia="en-GB"/>
        </w:rPr>
        <w:t xml:space="preserve"> izvadīšanas izmaiņām dzīvajā biomasā meža zemē, ko izraisa izmaiņas meža īpašībās un apsaimniekošanā (dzīvās biomasas bruto pieaugums gadā, dabīgā mirstība, mežistrādes apjoms utt.). Vissvarīgākais ietekmes faktors ir mežizstrādes apjoms (piemēram, maksimums 1999. un 2014. gadā).</w:t>
      </w:r>
    </w:p>
    <w:p w14:paraId="14AB5E41" w14:textId="77777777" w:rsidR="005B6239" w:rsidRPr="00C241F3" w:rsidRDefault="005B6239" w:rsidP="005B6239">
      <w:pPr>
        <w:spacing w:after="120"/>
        <w:jc w:val="both"/>
        <w:rPr>
          <w:rFonts w:cs="Times New Roman"/>
          <w:lang w:eastAsia="en-GB"/>
        </w:rPr>
      </w:pPr>
      <w:r w:rsidRPr="00C241F3">
        <w:rPr>
          <w:rFonts w:cs="Times New Roman"/>
          <w:lang w:eastAsia="en-GB"/>
        </w:rPr>
        <w:lastRenderedPageBreak/>
        <w:t>Meži ir ievērojams CO</w:t>
      </w:r>
      <w:r w:rsidRPr="00C241F3">
        <w:rPr>
          <w:rFonts w:cs="Times New Roman"/>
          <w:vertAlign w:val="subscript"/>
          <w:lang w:eastAsia="en-GB"/>
        </w:rPr>
        <w:t>2</w:t>
      </w:r>
      <w:r w:rsidRPr="00C241F3">
        <w:rPr>
          <w:rFonts w:cs="Times New Roman"/>
          <w:lang w:eastAsia="en-GB"/>
        </w:rPr>
        <w:t xml:space="preserve"> piesaistītājs. Mežainuma un krājas pieauguma palielināšanās stabili un pozitīvi ietekmē oglekļa uzkrāšanos. Vērojama arī stabila krājas pieauguma tendence, sasniedzot 677 milj. m³, kas nozīmē, ka mežaudžu ražība uzlabojas, attiecīgi nodrošinot Latvijai pozitīvu siltumnīcas efekta gāzu bilanci. CO</w:t>
      </w:r>
      <w:r w:rsidRPr="00C241F3">
        <w:rPr>
          <w:rFonts w:cs="Times New Roman"/>
          <w:vertAlign w:val="subscript"/>
          <w:lang w:eastAsia="en-GB"/>
        </w:rPr>
        <w:t>2</w:t>
      </w:r>
      <w:r w:rsidRPr="00C241F3">
        <w:rPr>
          <w:rFonts w:cs="Times New Roman"/>
          <w:lang w:eastAsia="en-GB"/>
        </w:rPr>
        <w:t xml:space="preserve"> piesaistes palielinājums pēdējos gadu desmitos mežos veidojies, pateicoties meža hidrotehniskajai meliorācijai, mākslīgajai meža atjaunošanai ar augstvērtīgu ģenētisko materiālu un meža kopšanas (retināšanas) koncepcijas maiņai.</w:t>
      </w:r>
    </w:p>
    <w:p w14:paraId="0D4BA0AF" w14:textId="77777777" w:rsidR="005B6239" w:rsidRPr="00C241F3" w:rsidRDefault="005B6239" w:rsidP="005B6239">
      <w:pPr>
        <w:spacing w:after="120"/>
        <w:jc w:val="both"/>
        <w:rPr>
          <w:rFonts w:cs="Times New Roman"/>
          <w:lang w:eastAsia="en-GB"/>
        </w:rPr>
      </w:pPr>
      <w:r w:rsidRPr="00C241F3">
        <w:rPr>
          <w:rFonts w:cs="Times New Roman"/>
          <w:lang w:eastAsia="en-GB"/>
        </w:rPr>
        <w:t>Meža ieaudzēšana ir gan ekonomiski, gan vides ziņā efektīvs veids, kā izmantot kādreizējās lauksaimniecības zemes (galvenokārt pamestas ganības, citu izmantoto platību – bijušo karjeru), kuras vairs neizmanto pārtikas vai lopbarības audzēšanai. Šis ir visefektīvākais LAP 2014.-2020. gadam paredzētais klimata pārmaiņu mazināšanas pasākums. Meža ieaudzēšana nodrošina CO</w:t>
      </w:r>
      <w:r w:rsidRPr="00C241F3">
        <w:rPr>
          <w:rFonts w:cs="Times New Roman"/>
          <w:vertAlign w:val="subscript"/>
          <w:lang w:eastAsia="en-GB"/>
        </w:rPr>
        <w:t>2</w:t>
      </w:r>
      <w:r w:rsidRPr="00C241F3">
        <w:rPr>
          <w:rFonts w:cs="Times New Roman"/>
          <w:lang w:eastAsia="en-GB"/>
        </w:rPr>
        <w:t xml:space="preserve"> uzkrāšanos dzīvajā un nedzīvajā biomasā, kritalās un augsnē (tikai mazāk auglīgā un noplicinātā augsnē).</w:t>
      </w:r>
    </w:p>
    <w:p w14:paraId="29600E7A" w14:textId="77777777" w:rsidR="005B6239" w:rsidRPr="00C241F3" w:rsidRDefault="005B6239" w:rsidP="005B6239">
      <w:pPr>
        <w:spacing w:after="120"/>
        <w:jc w:val="both"/>
        <w:rPr>
          <w:rFonts w:cs="Times New Roman"/>
          <w:lang w:eastAsia="en-GB"/>
        </w:rPr>
      </w:pPr>
      <w:r w:rsidRPr="00C241F3">
        <w:rPr>
          <w:rFonts w:cs="Times New Roman"/>
          <w:lang w:eastAsia="en-GB"/>
        </w:rPr>
        <w:t>Meža kopšana uzlabo mežaudžu veselību un samazina bojājumu risku, nodrošinot papildus CO</w:t>
      </w:r>
      <w:r w:rsidRPr="00C241F3">
        <w:rPr>
          <w:rFonts w:cs="Times New Roman"/>
          <w:vertAlign w:val="subscript"/>
          <w:lang w:eastAsia="en-GB"/>
        </w:rPr>
        <w:t>2</w:t>
      </w:r>
      <w:r w:rsidRPr="00C241F3">
        <w:rPr>
          <w:rFonts w:cs="Times New Roman"/>
          <w:lang w:eastAsia="en-GB"/>
        </w:rPr>
        <w:t xml:space="preserve"> piesaisti dzīvajā biomasā, kā arī palielina par 10 līdz 15% oglekļa uzkrājumu koksnes produktos. Līdzīgi mežaudžu atjaunošana pēc dabas katastrofām ietekmē oglekļa uzkrājumu dzīvajā biomasā, atmirušu koksni, kritalas un oglekļa krātuves augsnē, attiecīgi palielinot CO</w:t>
      </w:r>
      <w:r w:rsidRPr="00C241F3">
        <w:rPr>
          <w:rFonts w:cs="Times New Roman"/>
          <w:vertAlign w:val="subscript"/>
          <w:lang w:eastAsia="en-GB"/>
        </w:rPr>
        <w:t>2</w:t>
      </w:r>
      <w:r w:rsidRPr="00C241F3">
        <w:rPr>
          <w:rFonts w:cs="Times New Roman"/>
          <w:lang w:eastAsia="en-GB"/>
        </w:rPr>
        <w:t xml:space="preserve"> piesaisti no atmosfēras (Jansons, Baumanis, 2008; Lazdiņš et al., 2012, 2013).</w:t>
      </w:r>
    </w:p>
    <w:p w14:paraId="65181AEF" w14:textId="77777777" w:rsidR="005B6239" w:rsidRPr="00C241F3" w:rsidRDefault="005B6239" w:rsidP="005B6239">
      <w:pPr>
        <w:spacing w:after="120"/>
        <w:jc w:val="both"/>
        <w:rPr>
          <w:rFonts w:cs="Times New Roman"/>
          <w:lang w:eastAsia="en-GB"/>
        </w:rPr>
      </w:pPr>
      <w:r w:rsidRPr="00C241F3">
        <w:rPr>
          <w:rFonts w:cs="Times New Roman"/>
          <w:lang w:eastAsia="en-GB"/>
        </w:rPr>
        <w:t>Meža apsaimniekošanā un ieaudzēšanā, visefektīvākais pasākums SEG emisiju samazināšanai ir meža ieaudzēšana, jo īpaši organiskajās augsnēs. Tās ir iespējams identificēt pēc meža tipa. Organiskās augsnes ir sastopamos tajos meža tipos, kas klasificējami kā kūdreņi. Meža ieaudzēšana vidēji no viena hektāra SEG emisijas ļauj samazināt par 5,88 tonnām CO</w:t>
      </w:r>
      <w:r w:rsidRPr="00C241F3">
        <w:rPr>
          <w:rFonts w:cs="Times New Roman"/>
          <w:vertAlign w:val="subscript"/>
          <w:lang w:eastAsia="en-GB"/>
        </w:rPr>
        <w:t>2</w:t>
      </w:r>
      <w:r w:rsidRPr="00C241F3">
        <w:rPr>
          <w:rFonts w:cs="Times New Roman"/>
          <w:lang w:eastAsia="en-GB"/>
        </w:rPr>
        <w:t xml:space="preserve"> ekv./ha gadā minerālaugsnēs, kamēr organiskajās augsnēs samazinājums ir pat 25,84 tonnas CO</w:t>
      </w:r>
      <w:r w:rsidRPr="00C241F3">
        <w:rPr>
          <w:rFonts w:cs="Times New Roman"/>
          <w:vertAlign w:val="subscript"/>
          <w:lang w:eastAsia="en-GB"/>
        </w:rPr>
        <w:t>2</w:t>
      </w:r>
      <w:r w:rsidRPr="00C241F3">
        <w:rPr>
          <w:rFonts w:cs="Times New Roman"/>
          <w:lang w:eastAsia="en-GB"/>
        </w:rPr>
        <w:t xml:space="preserve"> ekv./ha gadā (AREI, Metodoloģiskie risinājumi LAP 2014-2020 pasākumu ieguldījuma novērtēšanai klimata prioritātē mērķa virzienā Veicināt oglekļa uzglabāšanu un piesaisti mežsaimniecībā, 2018).</w:t>
      </w:r>
    </w:p>
    <w:p w14:paraId="68CE4100" w14:textId="77777777" w:rsidR="005B6239" w:rsidRPr="00C241F3" w:rsidRDefault="005B6239" w:rsidP="005B6239">
      <w:pPr>
        <w:spacing w:after="120"/>
        <w:jc w:val="both"/>
        <w:rPr>
          <w:rFonts w:cs="Times New Roman"/>
          <w:lang w:eastAsia="en-GB"/>
        </w:rPr>
      </w:pPr>
      <w:r w:rsidRPr="00C241F3">
        <w:rPr>
          <w:rFonts w:cs="Times New Roman"/>
          <w:lang w:eastAsia="en-GB"/>
        </w:rPr>
        <w:t>Mērķtiecīga meža atjaunošana ar atbilstošu materiālu nodrošina piesaisti dzīvajā biomasā vidēji 50 tonnas CO</w:t>
      </w:r>
      <w:r w:rsidRPr="00C241F3">
        <w:rPr>
          <w:rFonts w:cs="Times New Roman"/>
          <w:vertAlign w:val="subscript"/>
          <w:lang w:eastAsia="en-GB"/>
        </w:rPr>
        <w:t>2</w:t>
      </w:r>
      <w:r w:rsidRPr="00C241F3">
        <w:rPr>
          <w:rFonts w:cs="Times New Roman"/>
          <w:lang w:eastAsia="en-GB"/>
        </w:rPr>
        <w:t xml:space="preserve"> uz vienu hektāru meža apsaimniekošanas cikla ietvaros. Ar kokiem dabiski aizaugušās platībās, kur koku biezība ir zema un ir nepieciešama apaugušās platības papildināšana ar stādmateriāliem, iespējams sasniegt 2,73 tonnas CO</w:t>
      </w:r>
      <w:r w:rsidRPr="00C241F3">
        <w:rPr>
          <w:rFonts w:cs="Times New Roman"/>
          <w:vertAlign w:val="subscript"/>
          <w:lang w:eastAsia="en-GB"/>
        </w:rPr>
        <w:t>2</w:t>
      </w:r>
      <w:r w:rsidRPr="00C241F3">
        <w:rPr>
          <w:rFonts w:cs="Times New Roman"/>
          <w:lang w:eastAsia="en-GB"/>
        </w:rPr>
        <w:t xml:space="preserve"> ekv./ha gadā emisiju samazinājumu. Kaut arī valdošās sugas nomaiņa īstermiņā nesniedz SEG emisijas mazinošu efektu, to ir iespējams gūt ilgtermiņā. Tā kā Latvijai saistoši ir klimata mērķi gan uz 2030. gadu, gan arī pēc 2050. gada, ilgtermiņā (sākot no 20-30 gadu perioda) valdošās sugas nomaiņa no baltalkšņa un blīgznas audzēm uz saimnieciski vērtīgo sugu audzēm – bērzs, priede, egle – sniedz SEG emisiju samazinājumu.</w:t>
      </w:r>
    </w:p>
    <w:p w14:paraId="4BA098B5" w14:textId="77777777" w:rsidR="006C7921" w:rsidRPr="004826D1" w:rsidRDefault="005B6239" w:rsidP="005B6239">
      <w:pPr>
        <w:spacing w:after="120"/>
        <w:jc w:val="both"/>
        <w:rPr>
          <w:rFonts w:cs="Times New Roman"/>
          <w:lang w:eastAsia="en-GB"/>
        </w:rPr>
      </w:pPr>
      <w:r w:rsidRPr="00C241F3">
        <w:rPr>
          <w:rFonts w:cs="Times New Roman"/>
          <w:lang w:eastAsia="en-GB"/>
        </w:rPr>
        <w:t>Meliorācijas sistēmu uzturēšana un atjaunošana mežos, saglabājot augu veģetācijai normālu mitruma režīmu augsnē, nodrošina augu augšanas rezultātā notiekošo augu gāzu apmaiņu un pastāvīga apjoma CO</w:t>
      </w:r>
      <w:r w:rsidRPr="00C241F3">
        <w:rPr>
          <w:rFonts w:cs="Times New Roman"/>
          <w:vertAlign w:val="subscript"/>
          <w:lang w:eastAsia="en-GB"/>
        </w:rPr>
        <w:t>2</w:t>
      </w:r>
      <w:r w:rsidRPr="00C241F3">
        <w:rPr>
          <w:rFonts w:cs="Times New Roman"/>
          <w:lang w:eastAsia="en-GB"/>
        </w:rPr>
        <w:t xml:space="preserve"> piesaisti. Pārmitrās zemēs augu veģetācija samazinās, t.sk. CO</w:t>
      </w:r>
      <w:r w:rsidRPr="00C241F3">
        <w:rPr>
          <w:rFonts w:cs="Times New Roman"/>
          <w:vertAlign w:val="subscript"/>
          <w:lang w:eastAsia="en-GB"/>
        </w:rPr>
        <w:t>2</w:t>
      </w:r>
      <w:r w:rsidRPr="00C241F3">
        <w:rPr>
          <w:rFonts w:cs="Times New Roman"/>
          <w:lang w:eastAsia="en-GB"/>
        </w:rPr>
        <w:t xml:space="preserve"> piesaiste, vai sākas augu daļu atmiršana. Tāpēc tikai labi drenētas un aerētas augsnes nodrošina oglekļa līdzsvaru, kuru nodrošina normāla augu elpošana un fotosintēze, tādejādi veicina SEG piesaistes palielināšanos un kopējo SEG emisiju samazināšanos. Gan organiskajās, gan minerālaugsnēs, renovējot meliorācijas sistēmas mežā, vidējās SEG emisiju izmaiņas ir ar mīnuss zīmi, kas norāda uz SEG emisiju samazinājumu. Lielākais SEG emisiju samazinājums sasniedzams āreņos priedes mežaudzēs, kur samazinājums sasniedz 3,7 tonnas CO</w:t>
      </w:r>
      <w:r w:rsidRPr="00C241F3">
        <w:rPr>
          <w:rFonts w:cs="Times New Roman"/>
          <w:vertAlign w:val="subscript"/>
          <w:lang w:eastAsia="en-GB"/>
        </w:rPr>
        <w:t>2</w:t>
      </w:r>
      <w:r w:rsidRPr="00C241F3">
        <w:rPr>
          <w:rFonts w:cs="Times New Roman"/>
          <w:lang w:eastAsia="en-GB"/>
        </w:rPr>
        <w:t xml:space="preserve"> ekv./ha gadā (AREI, Metodoloģiskie risinājumi LAP 2014-2020 pasākumu ieguldījuma novērtēšanai klimata prioritātē mērķa virzienā Veicināt oglekļa uzglabāšanu un piesaisti mežsaimniecībā, 2018).</w:t>
      </w:r>
    </w:p>
    <w:p w14:paraId="6B0F2D52" w14:textId="77777777" w:rsidR="00EC5ADD" w:rsidRPr="004826D1" w:rsidRDefault="00EC5ADD" w:rsidP="00EC5ADD">
      <w:pPr>
        <w:pStyle w:val="Heading2"/>
        <w:spacing w:after="120"/>
        <w:jc w:val="both"/>
        <w:rPr>
          <w:rFonts w:ascii="Times New Roman" w:hAnsi="Times New Roman"/>
          <w:lang w:val="lv-LV"/>
        </w:rPr>
      </w:pPr>
      <w:bookmarkStart w:id="209" w:name="_Toc169602280"/>
      <w:r w:rsidRPr="004826D1">
        <w:rPr>
          <w:rFonts w:ascii="Times New Roman" w:hAnsi="Times New Roman"/>
          <w:lang w:val="lv-LV"/>
        </w:rPr>
        <w:lastRenderedPageBreak/>
        <w:t>5.</w:t>
      </w:r>
      <w:r w:rsidR="00E851B9" w:rsidRPr="004826D1">
        <w:rPr>
          <w:rFonts w:ascii="Times New Roman" w:hAnsi="Times New Roman"/>
          <w:lang w:val="lv-LV"/>
        </w:rPr>
        <w:t>3</w:t>
      </w:r>
      <w:r w:rsidRPr="004826D1">
        <w:rPr>
          <w:rFonts w:ascii="Times New Roman" w:hAnsi="Times New Roman"/>
          <w:lang w:val="lv-LV"/>
        </w:rPr>
        <w:t xml:space="preserve"> Ūdens resursi</w:t>
      </w:r>
      <w:bookmarkEnd w:id="209"/>
      <w:r w:rsidR="00E3794A" w:rsidRPr="004826D1">
        <w:rPr>
          <w:rFonts w:ascii="Times New Roman" w:hAnsi="Times New Roman"/>
          <w:lang w:val="lv-LV"/>
        </w:rPr>
        <w:t xml:space="preserve"> </w:t>
      </w:r>
    </w:p>
    <w:p w14:paraId="404A8D43" w14:textId="77777777" w:rsidR="009E3FCA" w:rsidRPr="004826D1" w:rsidRDefault="009E3FCA" w:rsidP="009E3FCA">
      <w:pPr>
        <w:spacing w:after="120"/>
        <w:jc w:val="both"/>
        <w:rPr>
          <w:rFonts w:cs="Times New Roman"/>
          <w:lang w:eastAsia="en-GB"/>
        </w:rPr>
      </w:pPr>
      <w:r w:rsidRPr="004826D1">
        <w:rPr>
          <w:rFonts w:cs="Times New Roman"/>
          <w:lang w:eastAsia="en-GB"/>
        </w:rPr>
        <w:t>Saldūdeņu resursus veido virszemes ūdeņi (upes, ezeri, ūdensteces) un pazemes ūdeņi. Latvija ir bagāta ar ūdens resursiem, jo katram tās iedzīvotājam ik gadus vidēji ir</w:t>
      </w:r>
      <w:r w:rsidR="00532AAE" w:rsidRPr="004826D1">
        <w:rPr>
          <w:rFonts w:cs="Times New Roman"/>
          <w:lang w:eastAsia="en-GB"/>
        </w:rPr>
        <w:t xml:space="preserve"> pieejami apmēram 15 tūkstoši m³</w:t>
      </w:r>
      <w:r w:rsidRPr="004826D1">
        <w:rPr>
          <w:rFonts w:cs="Times New Roman"/>
          <w:lang w:eastAsia="en-GB"/>
        </w:rPr>
        <w:t>.</w:t>
      </w:r>
    </w:p>
    <w:p w14:paraId="071A2187" w14:textId="77777777" w:rsidR="005B6239" w:rsidRPr="00C241F3" w:rsidRDefault="005B6239" w:rsidP="005B6239">
      <w:pPr>
        <w:spacing w:after="120"/>
        <w:jc w:val="both"/>
        <w:rPr>
          <w:rFonts w:cs="Times New Roman"/>
          <w:lang w:eastAsia="en-GB"/>
        </w:rPr>
      </w:pPr>
      <w:r w:rsidRPr="00C241F3">
        <w:rPr>
          <w:rFonts w:cs="Times New Roman"/>
          <w:lang w:eastAsia="en-GB"/>
        </w:rPr>
        <w:t>Latvija var lepoties ar bagātīgiem ūdens resursiem: gan virszemes, gan pazemes ūdens krājumiem. Latvijā ir ap 12,5 tūkst. upju, strautu, valku, urgu un lielu grāvju un 2256 ezeri (kopējā platība 110 tūkst. ha jeb 1,64 % no valsts teritorijas), kas kopā aizņem ~3,7% valsts teritorijas. Vairāk nekā 55% ūdens daudzuma, kas cauri Latvijas teritorijai ietek Rīgas līcī vai tieši Baltijas jūrā, veidojas aiz valsts robežām, un Latvija tikai daļēji var ietekmēt tā kvalitātes aizsardzību, piesārņojuma kontroli un monitoringu. Līdz ar to Latvijā raksturīga vislielākā pārrobežu ietekme un riski Baltijas jūras reģionā attiecībā uz virszemes ūdeņu kvalitāti.</w:t>
      </w:r>
    </w:p>
    <w:p w14:paraId="1084F7E3" w14:textId="77777777" w:rsidR="005B6239" w:rsidRPr="00C241F3" w:rsidRDefault="005B6239" w:rsidP="005B6239">
      <w:pPr>
        <w:spacing w:after="120"/>
        <w:jc w:val="both"/>
        <w:rPr>
          <w:rFonts w:cs="Times New Roman"/>
          <w:lang w:eastAsia="en-GB"/>
        </w:rPr>
      </w:pPr>
      <w:r w:rsidRPr="00C241F3">
        <w:rPr>
          <w:rFonts w:cs="Times New Roman"/>
          <w:lang w:eastAsia="en-GB"/>
        </w:rPr>
        <w:t>Latvija ir bagāta arī ar pazemes ūdeņiem. 2017.gada 1.janvārī kopējie spēkā esošie pazemes ūdeņu krājumi 344 pazemes ūdeņu atradnēs sasniedza 999,5 tūkst. m³/d, no tiem saldūdeņi veido 88,7%, bet ūdeņi ar paaugstinātu mineralizāciju – 11,3%. Pazemes ūdeņu ieguves kopējais apjoms pazemes ūdeņu atradnēs 2016.gadā bija 175.068 tūkst. m³/d. Iedzīvotāju ūdensapgādei Latvijā pārsvarā tiek izmantoti tieši pazemes ūdeņi, un tikai Rīgā papildus pazemes ūdeņiem tiek izmantoti arī Daugavas ūdeņi.</w:t>
      </w:r>
    </w:p>
    <w:p w14:paraId="582669A6" w14:textId="77777777" w:rsidR="005B6239" w:rsidRPr="00C241F3" w:rsidRDefault="005B6239" w:rsidP="005B6239">
      <w:pPr>
        <w:spacing w:after="120"/>
        <w:jc w:val="both"/>
        <w:rPr>
          <w:rFonts w:cs="Times New Roman"/>
          <w:lang w:eastAsia="en-GB"/>
        </w:rPr>
      </w:pPr>
      <w:r w:rsidRPr="00C241F3">
        <w:rPr>
          <w:rFonts w:cs="Times New Roman"/>
          <w:lang w:eastAsia="en-GB"/>
        </w:rPr>
        <w:t>Eitrofikācija ir ūdens bagātināšanās ar augu barības vielām, kas izraisa aļģu un augstāko augu formu paātrinātu augšanu, radot nevēlamas ūdens organismu līdzsvara un ūdens kvalitātes izmaiņas. Augu barības vielas ūdens tecēs, ūdenstilpnēs un Baltijas jūrā nonāk gan no punktveida (piemēram, apdzīvoto vietu notekūdeņu attīrīšanas iekārtas), gan difūziem piesārņojuma avotiem (piemēram, lauksaimniecības, mežsaimniecības). Barības vielu notece lauksaimnieciskās darbības rezultātā rodas slāpekļa un fosfora savienojumiem izskalojoties no aramzemēm, kurās ierīkotas meliorācijas sistēmas, un tālāk tiem pārvietojoties hidrogrāfiskā tīkla ietvaros un radot eitrofikācijas procesu izpausmes vietējās ūdenstecēs un ūdenstilpnēs, kā arī Baltijas jūrā. Slāpekļa un fosfora savienojumu izskalošanās intensitāte ir atkarīga no antropogēnajām aktivitātēm, kuras iespējams kontrolēt, un hidrometeoroloģiskajiem apstākļiem, kurus kontrolēt nav iespējams. Antropogēnā jeb cilvēku izraisītā ietekme saistīta ar mēslošanas līdzekļu pārmērīgu, nesabalansētu vai neatbilstošu lietošanu, kā arī ar kūtsmēslu nepareizu uzglabāšanu.</w:t>
      </w:r>
    </w:p>
    <w:p w14:paraId="54AFE942" w14:textId="77777777" w:rsidR="005B6239" w:rsidRPr="00C241F3" w:rsidRDefault="005B6239" w:rsidP="005B6239">
      <w:pPr>
        <w:spacing w:after="120"/>
        <w:jc w:val="both"/>
        <w:rPr>
          <w:rFonts w:cs="Times New Roman"/>
          <w:lang w:eastAsia="en-GB"/>
        </w:rPr>
      </w:pPr>
      <w:r w:rsidRPr="00C241F3">
        <w:rPr>
          <w:rFonts w:cs="Times New Roman"/>
          <w:lang w:eastAsia="en-GB"/>
        </w:rPr>
        <w:t>Lauksaimniecība ir nozīmīgākais izkliedētā piesārņojuma ar slāpekļa un fosfora savienojumiem avots gan iekšējos ūdeņos, gan Baltijas jūrā. Pēc Helsinku komisijas (HELCOM) veiktā novērtējuma 2014.gadā izkliedētā piesārņojuma avoti (lauksaimniecība, mežsaimniecība) veidoja 53% no kopējā slāpekļa daudzuma un 40% no kopējā fosfora daudzuma, kas no Latvijas nonāca Baltijas jūrā. Eitrofikācija ir būtiska problēma, kas kavē laba vides stāvokļa nodrošināšanu Baltijas jūrā. Īpaši aktuāla problēma Baltijas jūrā ir tieši augstās fosfora koncentrācijas. Latvijā atsevišķās upēs lauksaimniecības monitoringa noteču programmas īstenošanas ietvaros īpaši jutīgajā teritorijā novērotas augstas fosfora koncentrācijas, kas pārsniedz noteikto pieļaujamo eitrofikācijas robežkoncentrāciju.</w:t>
      </w:r>
      <w:r>
        <w:rPr>
          <w:rFonts w:cs="Times New Roman"/>
          <w:lang w:eastAsia="en-GB"/>
        </w:rPr>
        <w:t xml:space="preserve"> Līdz ar to </w:t>
      </w:r>
      <w:r w:rsidRPr="003A7081">
        <w:rPr>
          <w:rFonts w:cs="Times New Roman"/>
          <w:lang w:eastAsia="en-GB"/>
        </w:rPr>
        <w:t>pesticīdu un minerālmēslu izmantošanas apjoma izmaiņām/tendencēm kultūraugu audzēšanā kontekstā ar to ietekmi gan uz ūdensobjektiem, gan arī ES nozīmes aizsargājamiem biotopiem</w:t>
      </w:r>
      <w:r>
        <w:rPr>
          <w:rFonts w:cs="Times New Roman"/>
          <w:lang w:eastAsia="en-GB"/>
        </w:rPr>
        <w:t>, ir būtiska nozīme</w:t>
      </w:r>
      <w:r w:rsidRPr="003A7081">
        <w:rPr>
          <w:rFonts w:cs="Times New Roman"/>
          <w:lang w:eastAsia="en-GB"/>
        </w:rPr>
        <w:t>.</w:t>
      </w:r>
    </w:p>
    <w:p w14:paraId="7B946EA7"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Ūdeņu kvalitāti lauksaimniecības zemēs ir iespējams uzlabot, ūdensobjektos ierīkojot videi draudzīgu meliorācijas sistēmu elementus, kuri nodrošina labvēlīgu vidi ūdens pašattīrīšanās procesu norisei, jo palielinās ūdens uzturēšanās laiks meliorācijas sistēmu ietvaros. Tradicionālo meliorācijas sistēmu ierīkošana bez videi draudzīgiem elementiem sekmē paātrinātu ūdens novadīšanu no lauksaimniecības zemēm, līdz ar to samazinot dabisko ūdens pašattīrīšanās procesu norises laiku. NUTRINFLOW projekta ietvaros tika turpināts 2014. gadā uzsāktais pētījums par augu barības vielu un suspendēto vielu samazināšanas efektivitāti </w:t>
      </w:r>
      <w:r w:rsidRPr="00C241F3">
        <w:rPr>
          <w:rFonts w:cs="Times New Roman"/>
          <w:lang w:eastAsia="en-GB"/>
        </w:rPr>
        <w:lastRenderedPageBreak/>
        <w:t>virszemes un pazemes plūsmas mākslīgajos mitrājos, kas izbūvēti z/s „Mežacīruļi”. Pētījuma rezultāti liecināja, ka slāpekļa un fosfora savienojumu un suspendēto vielu attīrīšanas efektivitāte ir augsta. Virszemes plūsmas mitrājā nitrātjonu daudzums samazinājās par 20%, bet kopējā fosfora daudzums samazinājās par 24%. Pazemes plūsmas mitrājā nitrātjonu daudzums samazinājās par 19%, bet kopējā fosfora daudzums par 89%.</w:t>
      </w:r>
    </w:p>
    <w:p w14:paraId="0865E92B" w14:textId="77777777" w:rsidR="005B6239" w:rsidRPr="00C241F3" w:rsidRDefault="005B6239" w:rsidP="005B6239">
      <w:pPr>
        <w:spacing w:after="120"/>
        <w:jc w:val="both"/>
        <w:rPr>
          <w:rFonts w:cs="Times New Roman"/>
          <w:lang w:eastAsia="en-GB"/>
        </w:rPr>
      </w:pPr>
      <w:r w:rsidRPr="00C241F3">
        <w:rPr>
          <w:rFonts w:cs="Times New Roman"/>
          <w:lang w:eastAsia="en-GB"/>
        </w:rPr>
        <w:t>Dažāda veida aizsargjoslas ir viens no efektīvākajiem agrovides pasākumiem, lai samazinātu ūdens erozijas izraisītās augsnes daļiņu, slāpekļa un fosfora savienojumu, kā arī augu aizsardzības līdzekļu noplūdes ūdens avotos (Mayer, et al., 2006; Bernhardt et al., 2005; Bomans, et al., 2005). Buferjoslas ir arī obligāta prasība esošās savstarpējās atbilstības prasībās un nākotnē būs nosacījumu sistēmas ietvaros, kas ir jāievēro visiem, kas piesakās uz jebkuru platību maksājumu. Aizsargjoslas jālieto, lai samazinātu piesārņojumu, kurš var nonākt upju augštecēs, novadgrāvjos un strautos, nelielās neizžūstošās ūdenstecēs, dīķos un ūdenskrātuvēs. Parasti virszemes noteci, pirms tā nonāk lielajās upēs, uzņem nelieli ūdens avoti. Tādēļ aizsargjoslām gar nelielām ūdens tecēm ir liela nozīme ūdens kvalitātes uzlabošanā lielajās upēs. Pašlaik Upju baseinu apgabalu apsaimniekošanas plānos 2016.-2020.gadam aizsargjoslu izveide (2 m platas neapartas joslas) aramzemēs lauku malās gar ūdenstecēm, ūdenstilpēm un meliorācijas sistēmu novadgrāvjiem ir noteikts kā papildus pasākums, kas veicinātu lauksaimniecības sektora radītās piesārņojuma slodzes samazināšanu. Aizsargjoslas būtu jālieto gan līdzenuma apstākļos, gan izteiktā reljefā, ja pastāv virszemes noteces risks, vai augsne ir periodiski piesātināta ar ūdeni, it sevišķi ja notece nav vienmērīgi sadalīta laikā (intensīvas lietusgāzes, kūstošā sniega notece). Vēl lielāka vajadzība pēc aizsargjoslām izpaužas intensīvi apsaimniekotā aramzemē periodos pēc augsnes apstrādes.</w:t>
      </w:r>
    </w:p>
    <w:p w14:paraId="48AECAB2" w14:textId="77777777" w:rsidR="005B6239" w:rsidRPr="00C241F3" w:rsidRDefault="005B6239" w:rsidP="005B6239">
      <w:pPr>
        <w:spacing w:after="120"/>
        <w:jc w:val="both"/>
        <w:rPr>
          <w:rFonts w:cs="Times New Roman"/>
          <w:lang w:eastAsia="en-GB"/>
        </w:rPr>
      </w:pPr>
      <w:r w:rsidRPr="00C241F3">
        <w:rPr>
          <w:rFonts w:cs="Times New Roman"/>
          <w:lang w:eastAsia="en-GB"/>
        </w:rPr>
        <w:t>Augu barības vielu noteci veicina arī skābas augsnes ar zemu augsnes reakciju (pH), kurās ir traucēta augu augšana un attīstība, jo skābuma ietekmē sakņu spurgaliņas nenodrošina pietiekamu barības elementu uzņemšanu. Augsnei paskābinoties samazinās kultūraugu barības elementu uzņemšanas spēja, līdz ar to samazinās to ražība, kā arī palielinās slāpekļa izskalošanās un iztvaikošanas risks. Tādēļ būtu jāizvērtē iespēja sniegt atbalstu augsnes kaļķošanai.</w:t>
      </w:r>
    </w:p>
    <w:p w14:paraId="74A2F1B7" w14:textId="77777777" w:rsidR="005B6239" w:rsidRPr="00C241F3" w:rsidRDefault="005B6239" w:rsidP="005B6239">
      <w:pPr>
        <w:spacing w:after="120"/>
        <w:jc w:val="both"/>
        <w:rPr>
          <w:rFonts w:cs="Times New Roman"/>
          <w:lang w:eastAsia="en-GB"/>
        </w:rPr>
      </w:pPr>
      <w:r w:rsidRPr="00C241F3">
        <w:rPr>
          <w:rFonts w:cs="Times New Roman"/>
          <w:lang w:eastAsia="en-GB"/>
        </w:rPr>
        <w:t>Notekūdeņu dūņu izmantošanu un apriti ES šobrīd nosaka Direktīva 86/287/EEK par vides, jo īpaši augsnes aizsardzību lauksaimniecībā, izmantojot notekūdeņu dūņas, kuras prasības pārņemtas MK noteikumos Nr.362 “Noteikumi par notekūdeņu dūņu un tā komposta izmantošanu, monitoringu un kontroli”. Notekūdeņu dūņu apsaimniekošanas stratēģijā 2021.-2027.gadam novērtēts, ka gada laikā ar tām mēsloto zemju kopplatība ir 20 tūkst.ha, un atzīst šādu izmantošanu par veicināmu atbilstoši kvalitātes apliecībai.</w:t>
      </w:r>
    </w:p>
    <w:p w14:paraId="2A1FFEA1" w14:textId="77777777" w:rsidR="005B6239" w:rsidRPr="00C241F3" w:rsidRDefault="005B6239" w:rsidP="005B6239">
      <w:pPr>
        <w:spacing w:after="120"/>
        <w:jc w:val="both"/>
      </w:pPr>
      <w:r w:rsidRPr="00C241F3">
        <w:rPr>
          <w:rFonts w:cs="Times New Roman"/>
          <w:lang w:eastAsia="en-GB"/>
        </w:rPr>
        <w:t>Atbilstoši apvienoto Upju baseinu apgabalu apsaimniekošanas un Plūdu risku pārvaldības plānos</w:t>
      </w:r>
      <w:r>
        <w:rPr>
          <w:rFonts w:cs="Times New Roman"/>
          <w:lang w:eastAsia="en-GB"/>
        </w:rPr>
        <w:t xml:space="preserve"> 2022.-2027. gadam</w:t>
      </w:r>
      <w:r w:rsidRPr="00C241F3">
        <w:rPr>
          <w:rFonts w:cs="Times New Roman"/>
          <w:lang w:eastAsia="en-GB"/>
        </w:rPr>
        <w:t xml:space="preserve"> un to Vides pārskatā sniegtajai informācijai, </w:t>
      </w:r>
      <w:r w:rsidRPr="00C241F3">
        <w:t>paaugstināts nitrātu saturs gruntsūdeņos ir dominējošais difūzās lauksaimniecības slodzes indikators. Jaunākie pētījumi rāda, ka Latvijā nitrātu robežvērtība (50 mg/l) ir pārsniegta tikai gruntsūdeņos līdz piecu metru dziļumam, bet nitrātu saturs virs fona vērtībām sastopams maksimāli līdz 15 metru dziļumam. To sekmē dabisks un intensīvs denitrifikācijas process, kā rezultātā bezskābekļa vidē nitrāti tiek pārvērsti par molekulāro slāpekli (N</w:t>
      </w:r>
      <w:r w:rsidRPr="00C241F3">
        <w:rPr>
          <w:vertAlign w:val="subscript"/>
        </w:rPr>
        <w:t>2</w:t>
      </w:r>
      <w:r w:rsidRPr="00C241F3">
        <w:t xml:space="preserve">) un nonāk atpakaļ atmosfērā. Lauksaimniecības izkliedētā piesārņojuma riskam pakļauti spiedienūdeņi, kuri atrodas zemas dabiskās aizsargātības zonās (dominē smilšaini nogulumi) vai intensīva karsta procesu izplatības apgabalos (nogulumos sastopamas plaisas). </w:t>
      </w:r>
    </w:p>
    <w:p w14:paraId="287837CA" w14:textId="77777777" w:rsidR="005B6239" w:rsidRDefault="005B6239" w:rsidP="005B6239">
      <w:pPr>
        <w:spacing w:after="120"/>
        <w:jc w:val="both"/>
      </w:pPr>
      <w:r w:rsidRPr="00C241F3">
        <w:t>Salīdzinot četrus UBA, visbūtiskākā lauksaimnieciskā slodze ir Lielupes UBA, savukārt Ventas UBA vienīgajā lauksaimniecība nerada būtisku slodzi.</w:t>
      </w:r>
    </w:p>
    <w:p w14:paraId="2700F6EF" w14:textId="77777777" w:rsidR="005B6239" w:rsidRPr="00C241F3" w:rsidRDefault="005B6239" w:rsidP="005B6239">
      <w:pPr>
        <w:spacing w:after="120"/>
        <w:jc w:val="both"/>
      </w:pPr>
      <w:r w:rsidRPr="00C241F3">
        <w:t xml:space="preserve">Atbilstoši Eiropas Parlamenta un Padomes Direktīvā 2000/60/EK, ar ko izveido sistēmu Kopienas rīcībai ūdens resursu politikas jomā, un Ūdens apsaimniekošanas likumā un uz tā pamata izdotajos tiesību aktos noteiktajam mērķim – nodrošināt visu ūdeņu labu stāvokli – tas </w:t>
      </w:r>
      <w:r w:rsidRPr="00C241F3">
        <w:lastRenderedPageBreak/>
        <w:t>nozīmē arī ūdenstilpju un ūdensteču hidroloģiskos un morfoloģiskos rādītājus (gultnes un krastu dabiskumu, ūdens plūsmas dabiskumu un nepārtrauktību). Savukārt pēc Upju baseinu apgabalu apsaimniekošanas plāniem hidromorfoloģiskie pārveidojumi kā būtiska upju un ezeru stāvokli ietekmējoša slodze ir novērtēti visos četros upju baseinu apgabalos.</w:t>
      </w:r>
    </w:p>
    <w:p w14:paraId="6B0DEB4A" w14:textId="77777777" w:rsidR="005B6239" w:rsidRPr="00C241F3" w:rsidRDefault="005B6239" w:rsidP="005B6239">
      <w:pPr>
        <w:pStyle w:val="Heading2"/>
        <w:jc w:val="both"/>
        <w:rPr>
          <w:rFonts w:ascii="Times New Roman" w:hAnsi="Times New Roman"/>
          <w:sz w:val="24"/>
          <w:szCs w:val="24"/>
          <w:lang w:val="lv-LV"/>
        </w:rPr>
      </w:pPr>
    </w:p>
    <w:p w14:paraId="10086621" w14:textId="77777777" w:rsidR="00EC5ADD" w:rsidRPr="004826D1" w:rsidRDefault="00EC5ADD" w:rsidP="00EC5ADD">
      <w:pPr>
        <w:pStyle w:val="Heading2"/>
        <w:spacing w:after="120"/>
        <w:jc w:val="both"/>
        <w:rPr>
          <w:rFonts w:ascii="Times New Roman" w:hAnsi="Times New Roman"/>
          <w:lang w:val="lv-LV"/>
        </w:rPr>
      </w:pPr>
      <w:bookmarkStart w:id="210" w:name="_Toc169602281"/>
      <w:r w:rsidRPr="004826D1">
        <w:rPr>
          <w:rFonts w:ascii="Times New Roman" w:hAnsi="Times New Roman"/>
          <w:lang w:val="lv-LV"/>
        </w:rPr>
        <w:t>5.</w:t>
      </w:r>
      <w:r w:rsidR="00E851B9" w:rsidRPr="004826D1">
        <w:rPr>
          <w:rFonts w:ascii="Times New Roman" w:hAnsi="Times New Roman"/>
          <w:lang w:val="lv-LV"/>
        </w:rPr>
        <w:t>4</w:t>
      </w:r>
      <w:r w:rsidRPr="004826D1">
        <w:rPr>
          <w:rFonts w:ascii="Times New Roman" w:hAnsi="Times New Roman"/>
          <w:lang w:val="lv-LV"/>
        </w:rPr>
        <w:t xml:space="preserve"> Augsne</w:t>
      </w:r>
      <w:bookmarkEnd w:id="210"/>
    </w:p>
    <w:p w14:paraId="2D42B75D" w14:textId="77777777" w:rsidR="000A7939" w:rsidRPr="00C241F3" w:rsidRDefault="000A7939" w:rsidP="000A7939">
      <w:pPr>
        <w:spacing w:after="120"/>
        <w:jc w:val="both"/>
        <w:rPr>
          <w:rFonts w:cs="Times New Roman"/>
          <w:lang w:eastAsia="en-GB"/>
        </w:rPr>
      </w:pPr>
      <w:r w:rsidRPr="00C241F3">
        <w:rPr>
          <w:rFonts w:cs="Times New Roman"/>
          <w:lang w:eastAsia="en-GB"/>
        </w:rPr>
        <w:t>Dažādos informācijas avotos ir atrodama atšķirīga informācija par lauksaimniecībā izmantojamās zemes platības lielumu Latvijā.</w:t>
      </w:r>
    </w:p>
    <w:p w14:paraId="7381272D" w14:textId="77777777" w:rsidR="000A7939" w:rsidRPr="00C241F3" w:rsidRDefault="000A7939" w:rsidP="000A7939">
      <w:pPr>
        <w:spacing w:after="120"/>
        <w:jc w:val="both"/>
        <w:rPr>
          <w:rFonts w:cs="Times New Roman"/>
          <w:lang w:eastAsia="en-GB"/>
        </w:rPr>
      </w:pPr>
      <w:r w:rsidRPr="00C241F3">
        <w:rPr>
          <w:rFonts w:cs="Times New Roman"/>
          <w:lang w:eastAsia="en-GB"/>
        </w:rPr>
        <w:t xml:space="preserve">Saskaņā ar CSP datiem, izmantotās LIZ platība kopš 1990. gada piedzīvoja gan strauju samazinājumu, gan palielinājumu. Straujš izmantotās LIZ samazinājums ir vērojams laikā no 1990. gada līdz 1999. gadam, kad platība samazinājās no 2,53 milj.ha līdz aptuveni 1,6 milj.ha. Latvijai iestājoties ES, </w:t>
      </w:r>
      <w:r w:rsidRPr="00C241F3">
        <w:rPr>
          <w:rStyle w:val="normaltextrun"/>
          <w:rFonts w:eastAsia="Calibri"/>
          <w:color w:val="000000"/>
          <w:shd w:val="clear" w:color="auto" w:fill="FFFFFF"/>
        </w:rPr>
        <w:t>izmantotās LIZ platība sāka pakāpeniski palielināties līdz 2019.gadā sasniedzot 1,96 milj. ha.</w:t>
      </w:r>
      <w:r w:rsidRPr="00C241F3">
        <w:rPr>
          <w:rStyle w:val="eop"/>
          <w:rFonts w:eastAsia="Calibri"/>
          <w:color w:val="000000"/>
          <w:shd w:val="clear" w:color="auto" w:fill="FFFFFF"/>
        </w:rPr>
        <w:t> </w:t>
      </w:r>
    </w:p>
    <w:p w14:paraId="3CC8D29F" w14:textId="77777777" w:rsidR="000A7939" w:rsidRPr="00C241F3" w:rsidRDefault="000A7939" w:rsidP="000A7939">
      <w:pPr>
        <w:spacing w:after="120"/>
        <w:jc w:val="both"/>
        <w:rPr>
          <w:rFonts w:cs="Times New Roman"/>
          <w:lang w:eastAsia="en-GB"/>
        </w:rPr>
      </w:pPr>
      <w:r w:rsidRPr="00C241F3">
        <w:rPr>
          <w:rFonts w:cs="Times New Roman"/>
          <w:lang w:eastAsia="en-GB"/>
        </w:rPr>
        <w:t>Savukārt LIZ struktūrā pēc CSP datiem 2019.gadā 67,3% veidoja aramzeme un 32,2% –pļavas un ganības, bet 2020. gadā – attiecīgi 67,7% un 31,8% (</w:t>
      </w:r>
      <w:hyperlink r:id="rId52" w:history="1">
        <w:r w:rsidRPr="00C241F3">
          <w:rPr>
            <w:rStyle w:val="Hyperlink"/>
            <w:lang w:eastAsia="en-GB"/>
          </w:rPr>
          <w:t>https://data.stat.gov.lv/pxweb/lv/OSP_PUB/START__NOZ__LA__LAG/LAG010</w:t>
        </w:r>
      </w:hyperlink>
      <w:r w:rsidRPr="00C241F3">
        <w:rPr>
          <w:rFonts w:cs="Times New Roman"/>
          <w:lang w:eastAsia="en-GB"/>
        </w:rPr>
        <w:t>). Kopš Latvijas neatkarības atjaunošanas pagājušā gadsimta 90.gados galvenā problēma bijusi lauksaimniecības zemju pamešana un/vai apmežošana, taču līdz ar iestāšanos Eiropas Savienībā šī tendence ir mazinājusies un pēdējos gados vērojams nekopto platību kritums.</w:t>
      </w:r>
    </w:p>
    <w:p w14:paraId="7F44FF8A" w14:textId="77777777" w:rsidR="000A7939" w:rsidRPr="00C241F3" w:rsidRDefault="000A7939" w:rsidP="000A7939">
      <w:pPr>
        <w:spacing w:after="120"/>
        <w:jc w:val="both"/>
        <w:rPr>
          <w:rFonts w:cs="Times New Roman"/>
          <w:lang w:eastAsia="en-GB"/>
        </w:rPr>
      </w:pPr>
      <w:r w:rsidRPr="00C241F3">
        <w:rPr>
          <w:rFonts w:cs="Times New Roman"/>
          <w:lang w:eastAsia="en-GB"/>
        </w:rPr>
        <w:t xml:space="preserve">Saskaņā ar LAD datiem </w:t>
      </w:r>
      <w:r w:rsidRPr="00C241F3">
        <w:rPr>
          <w:rStyle w:val="normaltextrun"/>
          <w:rFonts w:eastAsia="Calibri"/>
          <w:color w:val="000000"/>
          <w:shd w:val="clear" w:color="auto" w:fill="FFFFFF"/>
        </w:rPr>
        <w:t>tiešo maksājumu apmaksātā platība 2004. gadā bija 1,283 milj. ha un turpmāk katru gadu (izņemot 2008. gadu) tā ir pakāpeniski palielinājusies, 2019.gadā jau sasniedzot 1,74 milj.ha. Tādējādi tiešo maksājumu apmaksātā platība kopš 2004. gada ir pieaugusi par 35%</w:t>
      </w:r>
    </w:p>
    <w:p w14:paraId="150C52E9" w14:textId="77777777" w:rsidR="000A7939" w:rsidRDefault="000A7939" w:rsidP="000A7939">
      <w:pPr>
        <w:jc w:val="both"/>
        <w:rPr>
          <w:rFonts w:cs="Times New Roman"/>
          <w:lang w:eastAsia="en-GB"/>
        </w:rPr>
      </w:pPr>
      <w:r w:rsidRPr="00C241F3">
        <w:rPr>
          <w:rFonts w:cs="Times New Roman"/>
          <w:lang w:eastAsia="en-GB"/>
        </w:rPr>
        <w:t xml:space="preserve"> Zinātniskā pētījuma projekta “Ilgtspējīga zemes resursu pārvaldības veicināšana, izveidojot “Digitālu augšņu datubāzi”” ietvaros (2014-2016) Latvijā tika izveidota digitālā vēsturiskā augšņu datubāze, kas ietver informāciju no Valsts zemes dienesta Centrālā arhīva un Latvijas Valsts arhīvā esošajām lauksaimniecībā izmantojamo zemju augšņu kartēm, kas kartētas laika periodā no 1960. līdz 1991. gadam. Izplatītākās augsnes Latvijā uz lauksaimniecības zemes ir velēnu podzolētās virspusēji glejotās augsnes, velēnu glejotās augsnes, velēnu podzolētās augsnes un velēnu podzolētās glejotās augsnes (1981.gada klasifikācijas nosaukumi), kuras veido 12,5 % aptuveni no visām kartētajām augsnēm. Lielākā daļa augšņu ir veidojušās uz morēnas mālsmilts (33%) un smilšmālā (33%) nogulumiem un ir akmeņainas. Smilts augsnes aizņem tikai 19% un galvenokārt Piejūrā. Kūdras augšņu izplatībā veido 12,7% no kartētajām augsnēm lauksaimniecības zemes, kas galvenokārt izplatītas Vidzemes un Latgales centrālajā un austrumu daļā (1.18.attēls). Domājams, ka kūdras mineralizācijas procesā šo augšņu īpatsvars Latvijā ir būtiski samazinājies, taču jauna un visaptveroša izpēte līdz šim nav veikta. Uz vēsturisko karšu materiālu pamata tiks veikti mērījumi dabā un iegūta precīza informācija, kā rezultātā 2024. gadā Latvijai būs pieejams aktualizēts kūdras augšņu izplatības telpisko datu slānis</w:t>
      </w:r>
      <w:r>
        <w:rPr>
          <w:rFonts w:cs="Times New Roman"/>
          <w:lang w:eastAsia="en-GB"/>
        </w:rPr>
        <w:t>.</w:t>
      </w:r>
    </w:p>
    <w:p w14:paraId="14D57F33" w14:textId="77777777" w:rsidR="000A7939" w:rsidRPr="00C241F3" w:rsidRDefault="000A7939" w:rsidP="000A7939">
      <w:pPr>
        <w:jc w:val="both"/>
        <w:rPr>
          <w:rFonts w:cs="Times New Roman"/>
          <w:lang w:eastAsia="en-GB"/>
        </w:rPr>
      </w:pPr>
      <w:r w:rsidRPr="00C241F3">
        <w:rPr>
          <w:rFonts w:cs="Times New Roman"/>
          <w:lang w:eastAsia="en-GB"/>
        </w:rPr>
        <w:t>Augsnes biota ir viens no svarīgākajiem augsnes veidotājfaktoriem, un līdz ar to izmaiņas bioloģiskajā daudzveidībā atsaucas uz augsnes auglību. Eksistē tieša sakarība starp augsnes auglību un tās bioloģisko daudzveidību. Augsnes bioloģiskā daudzveidība ir labs indikators, kas parāda augsnes degradācijas pakāpi (Nikodemus &amp; al., 2008, 2009). Tomēr augsnes biota un bioloģiskā daudzveidība Latvijā ir salīdzinoši maz izpētīta.</w:t>
      </w:r>
    </w:p>
    <w:p w14:paraId="5D7D971A" w14:textId="77777777" w:rsidR="000A7939" w:rsidRPr="00C241F3" w:rsidRDefault="000A7939" w:rsidP="000A7939">
      <w:pPr>
        <w:spacing w:after="120"/>
        <w:jc w:val="both"/>
        <w:rPr>
          <w:rFonts w:cs="Times New Roman"/>
          <w:lang w:eastAsia="en-GB"/>
        </w:rPr>
      </w:pPr>
      <w:r w:rsidRPr="00C241F3">
        <w:rPr>
          <w:rFonts w:cs="Times New Roman"/>
          <w:lang w:eastAsia="en-GB"/>
        </w:rPr>
        <w:t xml:space="preserve">Viena no aktuālākajam augsnes aizsardzības problēmām Latvijā ir augsnes erozijas ierobežošana, kuras aktualitāte pieaug saistībā ar aramzemju platību palielināšanos, gan klimata pārmaiņu norisi. Augsnes erozijas procesā auglīgā virskārta daļēji vai pilnīgi tiek iznīcināta gan dabisko procesu, gan cilvēka saimnieciskās darbības rezultātā. Tiešais ūdens erozijas radītais kaitējums ietekmē organisko vielu zudumu, virskārtas sablīvēšanos, barības </w:t>
      </w:r>
      <w:r w:rsidRPr="00C241F3">
        <w:rPr>
          <w:rFonts w:cs="Times New Roman"/>
          <w:lang w:eastAsia="en-GB"/>
        </w:rPr>
        <w:lastRenderedPageBreak/>
        <w:t>vielu zudumu, izskalojumu un gravu veidošanos, augu bojāeju, u.c., taču netiešais kaitējums galvenokārt ietekmē ūdens piesārņojumu un eitrofikācijas riskus, kā arī drenāžas tīkla aizsērēšanu14.</w:t>
      </w:r>
    </w:p>
    <w:p w14:paraId="361A968A" w14:textId="77777777" w:rsidR="000A7939" w:rsidRPr="00C241F3" w:rsidRDefault="000A7939" w:rsidP="000A7939">
      <w:pPr>
        <w:spacing w:after="120"/>
        <w:jc w:val="both"/>
        <w:rPr>
          <w:rFonts w:cs="Times New Roman"/>
          <w:lang w:eastAsia="en-GB"/>
        </w:rPr>
      </w:pPr>
      <w:r w:rsidRPr="00C241F3">
        <w:rPr>
          <w:rFonts w:cs="Times New Roman"/>
          <w:lang w:eastAsia="en-GB"/>
        </w:rPr>
        <w:t>Visbiežāk novērojamie augsnes erozijas veidi ir:</w:t>
      </w:r>
    </w:p>
    <w:p w14:paraId="350DFAA9" w14:textId="77777777" w:rsidR="000A7939" w:rsidRPr="00C241F3" w:rsidRDefault="000A7939" w:rsidP="000A7939">
      <w:pPr>
        <w:spacing w:after="120"/>
        <w:ind w:left="720"/>
        <w:jc w:val="both"/>
        <w:rPr>
          <w:rFonts w:cs="Times New Roman"/>
          <w:lang w:eastAsia="en-GB"/>
        </w:rPr>
      </w:pPr>
      <w:r w:rsidRPr="00C241F3">
        <w:rPr>
          <w:rFonts w:cs="Times New Roman"/>
          <w:lang w:eastAsia="en-GB"/>
        </w:rPr>
        <w:t>• Ūdens izraisītā augsnes erozija (augsnes ūdens erozija)</w:t>
      </w:r>
    </w:p>
    <w:p w14:paraId="7455E6A7" w14:textId="77777777" w:rsidR="000A7939" w:rsidRPr="00C241F3" w:rsidRDefault="000A7939" w:rsidP="000A7939">
      <w:pPr>
        <w:spacing w:after="120"/>
        <w:ind w:left="720"/>
        <w:jc w:val="both"/>
        <w:rPr>
          <w:rFonts w:cs="Times New Roman"/>
          <w:lang w:eastAsia="en-GB"/>
        </w:rPr>
      </w:pPr>
      <w:r w:rsidRPr="00C241F3">
        <w:rPr>
          <w:rFonts w:cs="Times New Roman"/>
          <w:lang w:eastAsia="en-GB"/>
        </w:rPr>
        <w:t>• Vēja izraisītā augsnes erozija (augsnes vēja erozija)</w:t>
      </w:r>
    </w:p>
    <w:p w14:paraId="1E7E9CE4" w14:textId="77777777" w:rsidR="000A7939" w:rsidRPr="00C241F3" w:rsidRDefault="000A7939" w:rsidP="000A7939">
      <w:pPr>
        <w:spacing w:after="120"/>
        <w:ind w:left="720"/>
        <w:jc w:val="both"/>
        <w:rPr>
          <w:rFonts w:cs="Times New Roman"/>
          <w:lang w:eastAsia="en-GB"/>
        </w:rPr>
      </w:pPr>
      <w:r w:rsidRPr="00C241F3">
        <w:rPr>
          <w:rFonts w:cs="Times New Roman"/>
          <w:lang w:eastAsia="en-GB"/>
        </w:rPr>
        <w:t>• Augsnes apstrādes izraisītā augsnes erozija (augsnes mehāniskā erozija).</w:t>
      </w:r>
    </w:p>
    <w:p w14:paraId="7A5592FE" w14:textId="77777777" w:rsidR="000A7939" w:rsidRPr="00C241F3" w:rsidRDefault="000A7939" w:rsidP="000A7939">
      <w:pPr>
        <w:spacing w:after="120"/>
        <w:jc w:val="both"/>
        <w:rPr>
          <w:rFonts w:cs="Times New Roman"/>
          <w:lang w:eastAsia="en-GB"/>
        </w:rPr>
      </w:pPr>
      <w:r w:rsidRPr="00C241F3">
        <w:rPr>
          <w:rFonts w:cs="Times New Roman"/>
          <w:lang w:eastAsia="en-GB"/>
        </w:rPr>
        <w:t>Latvijas teritorijā vislielākie ir tieši augsnes ūdens erozijas riski, pārsvarā augstieņu apvidos, īpaši Vidzemes, Alūksnes, Latgales un Augšzemes augstienēs un nogāzēs upju ielejās. Latvijas apstākļos vājas augsnes erozijas apgabalos augkopības produkcija samazinās par 10-20%, vidējas augsnes erozijas apgabalos – par 15-30%, bet stipras augsnes erozijas apgabalos pat par 25-40%, salīdzinot ar to produkcijas apjomu, kas iegūts maznozīmīgas erozijas apstākļos līdzena reljefā (Soms &amp; al., 2015). Ūdens erozijas pazīmes augsnēs ir konstatētas 12% izmantoto lauksaimniecības zemju jeb 7% visas Latvijas teritorijas.</w:t>
      </w:r>
    </w:p>
    <w:p w14:paraId="3FF51502" w14:textId="77777777" w:rsidR="000A7939" w:rsidRPr="00C241F3" w:rsidRDefault="000A7939" w:rsidP="000A7939">
      <w:pPr>
        <w:spacing w:after="120"/>
        <w:jc w:val="both"/>
        <w:rPr>
          <w:rFonts w:cs="Times New Roman"/>
          <w:lang w:eastAsia="en-GB"/>
        </w:rPr>
      </w:pPr>
      <w:r w:rsidRPr="00C241F3">
        <w:rPr>
          <w:rFonts w:cs="Times New Roman"/>
          <w:lang w:eastAsia="en-GB"/>
        </w:rPr>
        <w:t>Lielākie vēja erozijas riski lauksaimniecības zemēs Latvijā ir Piejūras zemienes polderu teritorijās un aizvien biežāk Zemgales līdzenumā, Tīreļa līdzenumā, Vārtājas viļņotajā līdzenumā un Apriķu līdzenumā. Vēja erozijas risku pieaugumu var veicināt mazo ainavas elementu zudums un homogēna augu seka ((Nikodemus &amp; al., 2018). Kvalitatīvi pētījumi par vēja erozijas riskiem Latvijas teritorijā praktiski nav veikti.</w:t>
      </w:r>
    </w:p>
    <w:p w14:paraId="3833B595" w14:textId="77777777" w:rsidR="000A7939" w:rsidRPr="00C241F3" w:rsidRDefault="000A7939" w:rsidP="000A7939">
      <w:pPr>
        <w:spacing w:after="120"/>
        <w:jc w:val="both"/>
        <w:rPr>
          <w:rFonts w:cs="Times New Roman"/>
          <w:lang w:eastAsia="en-GB"/>
        </w:rPr>
      </w:pPr>
      <w:r w:rsidRPr="00C241F3">
        <w:rPr>
          <w:rFonts w:cs="Times New Roman"/>
          <w:lang w:eastAsia="en-GB"/>
        </w:rPr>
        <w:t>Latvijā līdz šim maz ir pētīta augsnes sablīvēšanās problēma, taču pēc Eiropā veiktajiem pētījumiem Latvijā ir augsta un vidēja augsnes dabiskā sablīvēšanās un Zemgales reģionā tā pat ir ļoti augsta. Konkrētajiem apstākļiem nepiemērota zemes apsaimniekošana ir galvenais augsnes sablīvēšanās cēlonis. Augsnes sablīvēšanās var izraisīt vai veicināt citus augsnes degradācijas procesus, piemēram, eroziju vai zemes nogruvumus. Sablīvēšanās dēļ samazinās ūdens infiltrācijas ātrums augsnē, tādējādi palielinot virszemes noteci reljefa slīpajos nogabalos. Līdzenumos sablīvēšanās var izraisīt applūšanu, iznīcinot augsnes struktūru veidojošo daļiņu agregātus un radot zemes garozas veidošanos. Augšņu sablīvēšanās risks ir atkarīgs no augsnes mehāniskā sastāva; tas palielinās šādi: smilts augsnes (viszemākais risks), mālsmilts augsnes, vieglas smilšmāla augsnes, smilšmāla, smagas smilšmāla un māla augsnes (visaugstākais dabīgās sablīvēšanās risks). Augsnes struktūru uzlabo ar augsnes organisko vielu. Lai ierobežotu augsnes sablīvēšanu, augsnes apstrāde jāveic laikā, kad augsne nav pārāk mitra. Augsnes struktūras uzlabošanas nolūkos augsne jākaļķo un jāmēslo ar organiskajām vielām. Ja zem aramkārtas izveidojies blīvs augsnes slānis, jāveic tā irdināšana.</w:t>
      </w:r>
    </w:p>
    <w:p w14:paraId="32C9F663" w14:textId="77777777" w:rsidR="000A7939" w:rsidRPr="004826D1" w:rsidRDefault="000A7939" w:rsidP="000A7939">
      <w:pPr>
        <w:jc w:val="both"/>
        <w:rPr>
          <w:rFonts w:cs="Times New Roman"/>
        </w:rPr>
      </w:pPr>
    </w:p>
    <w:p w14:paraId="08FE04F7" w14:textId="77777777" w:rsidR="00EC5ADD" w:rsidRPr="004826D1" w:rsidRDefault="00EC5ADD" w:rsidP="00EC5ADD">
      <w:pPr>
        <w:pStyle w:val="Heading2"/>
        <w:spacing w:after="120"/>
        <w:jc w:val="both"/>
        <w:rPr>
          <w:rFonts w:ascii="Times New Roman" w:hAnsi="Times New Roman"/>
          <w:lang w:val="lv-LV"/>
        </w:rPr>
      </w:pPr>
      <w:bookmarkStart w:id="211" w:name="_Toc169602282"/>
      <w:r w:rsidRPr="004826D1">
        <w:rPr>
          <w:rFonts w:ascii="Times New Roman" w:hAnsi="Times New Roman"/>
          <w:lang w:val="lv-LV"/>
        </w:rPr>
        <w:t>5.</w:t>
      </w:r>
      <w:r w:rsidR="00E851B9" w:rsidRPr="004826D1">
        <w:rPr>
          <w:rFonts w:ascii="Times New Roman" w:hAnsi="Times New Roman"/>
          <w:lang w:val="lv-LV"/>
        </w:rPr>
        <w:t>6</w:t>
      </w:r>
      <w:r w:rsidRPr="004826D1">
        <w:rPr>
          <w:rFonts w:ascii="Times New Roman" w:hAnsi="Times New Roman"/>
          <w:lang w:val="lv-LV"/>
        </w:rPr>
        <w:t xml:space="preserve"> Atmosfēras gaisa kvalitāte</w:t>
      </w:r>
      <w:r w:rsidR="0063403A" w:rsidRPr="004826D1">
        <w:rPr>
          <w:rStyle w:val="FootnoteReference"/>
          <w:lang w:val="lv-LV"/>
        </w:rPr>
        <w:footnoteReference w:id="51"/>
      </w:r>
      <w:bookmarkEnd w:id="211"/>
    </w:p>
    <w:p w14:paraId="141138C5" w14:textId="77777777" w:rsidR="00EC5ADD" w:rsidRPr="004826D1" w:rsidRDefault="00EC5ADD" w:rsidP="00EC5ADD">
      <w:pPr>
        <w:spacing w:after="120"/>
        <w:jc w:val="both"/>
        <w:rPr>
          <w:rFonts w:cs="Times New Roman"/>
          <w:lang w:eastAsia="en-GB"/>
        </w:rPr>
      </w:pPr>
      <w:r w:rsidRPr="004826D1">
        <w:rPr>
          <w:rFonts w:cs="Times New Roman"/>
          <w:lang w:eastAsia="en-GB"/>
        </w:rPr>
        <w:t>Gaisa piesārņojums atstāj negatīvu ietekmi ne tikai uz cilvēku veselību, bet arī uz vidi, radot tādas vides problēmas, kā paskābināšanos (SO</w:t>
      </w:r>
      <w:r w:rsidRPr="004826D1">
        <w:rPr>
          <w:rFonts w:cs="Times New Roman"/>
          <w:vertAlign w:val="subscript"/>
          <w:lang w:eastAsia="en-GB"/>
        </w:rPr>
        <w:t>2</w:t>
      </w:r>
      <w:r w:rsidRPr="004826D1">
        <w:rPr>
          <w:rFonts w:cs="Times New Roman"/>
          <w:lang w:eastAsia="en-GB"/>
        </w:rPr>
        <w:t>, NOx, NH</w:t>
      </w:r>
      <w:r w:rsidRPr="004826D1">
        <w:rPr>
          <w:rFonts w:cs="Times New Roman"/>
          <w:vertAlign w:val="subscript"/>
          <w:lang w:eastAsia="en-GB"/>
        </w:rPr>
        <w:t>3</w:t>
      </w:r>
      <w:r w:rsidRPr="004826D1">
        <w:rPr>
          <w:rFonts w:cs="Times New Roman"/>
          <w:lang w:eastAsia="en-GB"/>
        </w:rPr>
        <w:t xml:space="preserve"> ietekmē), eitrofikāciju (NOx, NH</w:t>
      </w:r>
      <w:r w:rsidRPr="004826D1">
        <w:rPr>
          <w:rFonts w:cs="Times New Roman"/>
          <w:vertAlign w:val="subscript"/>
          <w:lang w:eastAsia="en-GB"/>
        </w:rPr>
        <w:t>3</w:t>
      </w:r>
      <w:r w:rsidRPr="004826D1">
        <w:rPr>
          <w:rFonts w:cs="Times New Roman"/>
          <w:lang w:eastAsia="en-GB"/>
        </w:rPr>
        <w:t xml:space="preserve"> ietekmē) un piezemes ozona veidošanos (</w:t>
      </w:r>
      <w:r w:rsidR="00335132" w:rsidRPr="004826D1">
        <w:rPr>
          <w:rFonts w:cs="Times New Roman"/>
          <w:lang w:eastAsia="en-GB"/>
        </w:rPr>
        <w:t xml:space="preserve">nemetāna gaistošie organiskie savienojumi (turpmāk – </w:t>
      </w:r>
      <w:r w:rsidRPr="004826D1">
        <w:rPr>
          <w:rFonts w:cs="Times New Roman"/>
          <w:lang w:eastAsia="en-GB"/>
        </w:rPr>
        <w:t>NMGOS</w:t>
      </w:r>
      <w:r w:rsidR="00335132" w:rsidRPr="004826D1">
        <w:rPr>
          <w:rFonts w:cs="Times New Roman"/>
          <w:lang w:eastAsia="en-GB"/>
        </w:rPr>
        <w:t>)</w:t>
      </w:r>
      <w:r w:rsidRPr="004826D1">
        <w:rPr>
          <w:rFonts w:cs="Times New Roman"/>
          <w:lang w:eastAsia="en-GB"/>
        </w:rPr>
        <w:t xml:space="preserve"> un NOx ietekmē). Palielināta piezemes ozona koncentrācija izraisa lauksaimniecisko kultūru, mežu un augu fizikālus bojājumus, samazina augšanas ātrumu un ražību.</w:t>
      </w:r>
    </w:p>
    <w:p w14:paraId="73BBAA84" w14:textId="77777777" w:rsidR="00EC5ADD" w:rsidRPr="004826D1" w:rsidRDefault="00EC5ADD" w:rsidP="00EC5ADD">
      <w:pPr>
        <w:spacing w:after="120"/>
        <w:jc w:val="both"/>
        <w:rPr>
          <w:rFonts w:cs="Times New Roman"/>
          <w:lang w:eastAsia="en-GB"/>
        </w:rPr>
      </w:pPr>
      <w:r w:rsidRPr="004826D1">
        <w:rPr>
          <w:rFonts w:cs="Times New Roman"/>
          <w:lang w:eastAsia="en-GB"/>
        </w:rPr>
        <w:t xml:space="preserve">Gaisa kvalitātes monitoringa programmas ietvaros tiek uzstādītas gaisa kvalitātes monitoringa stacijas ne tikai pilsētās, bet arī lauku rajonos. Pašlaik lauku teritorijās operē divas lauku fona stacijas – Rucavā (Liepājas novads) un Zosēnos (Cēsu novads). </w:t>
      </w:r>
      <w:r w:rsidR="00402EC5" w:rsidRPr="004826D1">
        <w:rPr>
          <w:rFonts w:cs="Times New Roman"/>
          <w:lang w:eastAsia="en-GB"/>
        </w:rPr>
        <w:t>S</w:t>
      </w:r>
      <w:r w:rsidRPr="004826D1">
        <w:rPr>
          <w:rFonts w:cs="Times New Roman"/>
          <w:lang w:eastAsia="en-GB"/>
        </w:rPr>
        <w:t>askaņā ar monitoringa datiem, Latvijas lauku teritorijās nepastāv problēmas, kas saistītas ar tiešu atmosfēras gaisa piesārņojumu</w:t>
      </w:r>
      <w:r w:rsidR="00402EC5" w:rsidRPr="004826D1">
        <w:rPr>
          <w:rFonts w:cs="Times New Roman"/>
          <w:lang w:eastAsia="en-GB"/>
        </w:rPr>
        <w:t>, tātad pastāv tikai lokāli atsevišķās vietās pilsētās</w:t>
      </w:r>
      <w:r w:rsidRPr="004826D1">
        <w:rPr>
          <w:rFonts w:cs="Times New Roman"/>
          <w:lang w:eastAsia="en-GB"/>
        </w:rPr>
        <w:t>.</w:t>
      </w:r>
    </w:p>
    <w:p w14:paraId="018978B4" w14:textId="77777777" w:rsidR="00C42101" w:rsidRPr="004826D1" w:rsidRDefault="00EC5ADD" w:rsidP="00C42101">
      <w:pPr>
        <w:spacing w:after="120"/>
        <w:jc w:val="both"/>
        <w:rPr>
          <w:rFonts w:cs="Times New Roman"/>
          <w:lang w:eastAsia="en-GB"/>
        </w:rPr>
      </w:pPr>
      <w:r w:rsidRPr="004826D1">
        <w:rPr>
          <w:rFonts w:cs="Times New Roman"/>
          <w:lang w:eastAsia="en-GB"/>
        </w:rPr>
        <w:lastRenderedPageBreak/>
        <w:t>Lielākie NMGOS avoti Latvijā ir mājsaimniecība, transports, rūpnieciskie ražošanas procesi, šķīdinātāju un specifisku ķīmisko produktu (krāsas, lakas, polimērie pārklājumu materiāli u.c.) izmantošana, kā arī atkritumu dedzināšana. Lielākie NMGOS apjomi tiek emitēti mājsaimniecības sektorā, galvenokārt augsta koksnes kurināmā patēriņa dēļ. Lai arī kopējās NMGOS emisijas ir samazinājušās par aptuveni 3</w:t>
      </w:r>
      <w:r w:rsidR="007E4B68">
        <w:rPr>
          <w:rFonts w:cs="Times New Roman"/>
          <w:lang w:eastAsia="en-GB"/>
        </w:rPr>
        <w:t>6 </w:t>
      </w:r>
      <w:r w:rsidRPr="004826D1">
        <w:rPr>
          <w:rFonts w:cs="Times New Roman"/>
          <w:lang w:eastAsia="en-GB"/>
        </w:rPr>
        <w:t>% kopš 1990. gada, NMGOG emisiju samazināšana ir būtiska, jo gaistošie organiskie savienojumi kaitē sabiedrības veselībai un var veicināt uz troposfēras robežslānī tādu fotoķīmisko oksidantu rašanos, kas ir kaitīgi vitāli svarīgiem vides un tautsaimniecības dabas resursiem.</w:t>
      </w:r>
      <w:r w:rsidRPr="004826D1">
        <w:rPr>
          <w:rStyle w:val="FootnoteReference"/>
          <w:lang w:eastAsia="en-GB"/>
        </w:rPr>
        <w:footnoteReference w:id="52"/>
      </w:r>
    </w:p>
    <w:p w14:paraId="11E8307D" w14:textId="77777777" w:rsidR="00C42101" w:rsidRPr="004826D1" w:rsidRDefault="004B07E2" w:rsidP="00C42101">
      <w:pPr>
        <w:spacing w:after="120"/>
        <w:jc w:val="both"/>
      </w:pPr>
      <w:r w:rsidRPr="004826D1">
        <w:t>Kopumā Latvijā visu gaisu piesārņojošo vielu emisijas (sēra dioksīda, nemetāna gaistošo organisko savienojumu, daļiņu PM</w:t>
      </w:r>
      <w:r w:rsidRPr="004826D1">
        <w:rPr>
          <w:vertAlign w:val="subscript"/>
        </w:rPr>
        <w:t>2,5</w:t>
      </w:r>
      <w:r w:rsidRPr="004826D1">
        <w:t xml:space="preserve"> un kvēpu jeb melnās ogles) pēdējo desmit gadu laikā ir samazinājušās, izņemot amonjaka emisijas, kuru daudzums ir palicis gandrīz nemainīgs (skat</w:t>
      </w:r>
      <w:r w:rsidR="00520283" w:rsidRPr="004826D1">
        <w:t>.</w:t>
      </w:r>
      <w:r w:rsidRPr="004826D1">
        <w:t xml:space="preserve"> </w:t>
      </w:r>
      <w:r w:rsidR="009661E1">
        <w:t>5.2</w:t>
      </w:r>
      <w:r w:rsidRPr="004826D1">
        <w:t>. att</w:t>
      </w:r>
      <w:r w:rsidR="00520283" w:rsidRPr="004826D1">
        <w:t>.</w:t>
      </w:r>
      <w:r w:rsidRPr="004826D1">
        <w:t>).</w:t>
      </w:r>
    </w:p>
    <w:p w14:paraId="1398ED80" w14:textId="77777777" w:rsidR="00C42101" w:rsidRPr="004826D1" w:rsidRDefault="00C42101" w:rsidP="00C42101">
      <w:pPr>
        <w:jc w:val="both"/>
        <w:rPr>
          <w:rFonts w:cs="Times New Roman"/>
          <w:szCs w:val="24"/>
        </w:rPr>
      </w:pPr>
      <w:r w:rsidRPr="004826D1">
        <w:rPr>
          <w:rFonts w:cs="Times New Roman"/>
          <w:szCs w:val="24"/>
        </w:rPr>
        <w:t>Emisijas ir aprēķinātas, pamatojoties uz prognozētajiem aktivitāšu datiem, bet vēl bez Plāna pasākumiem. Emisiju aprēķināšanā izmantoti emisiju faktori, kas iekļauti ziņojumā par Latvijas kopējām emisijām, kas iesniegti EK 2018. gadā</w:t>
      </w:r>
      <w:r w:rsidRPr="004826D1">
        <w:rPr>
          <w:rStyle w:val="FootnoteReference"/>
          <w:rFonts w:eastAsia="Calibri"/>
          <w:szCs w:val="24"/>
        </w:rPr>
        <w:footnoteReference w:id="53"/>
      </w:r>
      <w:r w:rsidRPr="004826D1">
        <w:rPr>
          <w:rFonts w:cs="Times New Roman"/>
          <w:szCs w:val="24"/>
        </w:rPr>
        <w:t xml:space="preserve">. </w:t>
      </w:r>
      <w:r w:rsidRPr="004826D1">
        <w:rPr>
          <w:rFonts w:cs="Times New Roman"/>
          <w:iCs/>
          <w:szCs w:val="24"/>
        </w:rPr>
        <w:t>Emisiju prognozes ietver un paredz to politiku un pasākumu īstenošanu, kas noteikti Latvijas valdības izstrādātajos politikas dokumentos līdz 2018. gadam, un tās politikas un pasākumus, kas ir iestrādāti emisiju aprēķinu scenārijā, kas 2018.gadā izstrādāts klimata un enerģētikas pakotnes ietverto mērķu sasniegšanai</w:t>
      </w:r>
      <w:r w:rsidRPr="004826D1">
        <w:rPr>
          <w:rStyle w:val="FootnoteReference"/>
          <w:rFonts w:eastAsia="Calibri"/>
          <w:iCs/>
          <w:szCs w:val="24"/>
        </w:rPr>
        <w:footnoteReference w:id="54"/>
      </w:r>
      <w:r w:rsidRPr="004826D1">
        <w:rPr>
          <w:rFonts w:cs="Times New Roman"/>
          <w:iCs/>
          <w:szCs w:val="24"/>
        </w:rPr>
        <w:t>,</w:t>
      </w:r>
      <w:r w:rsidRPr="004826D1">
        <w:rPr>
          <w:rFonts w:cs="Times New Roman"/>
          <w:szCs w:val="24"/>
        </w:rPr>
        <w:t xml:space="preserve"> bet vēl ne Plāna pasākumi. Sekojošā aprakstā sniegts īss ieskats par dinamiku bez Plāna pasākumiem katrai no gaisu piesārņojošo vielu emisijām.</w:t>
      </w:r>
    </w:p>
    <w:p w14:paraId="6CDC0E6B" w14:textId="77777777" w:rsidR="004B07E2" w:rsidRPr="004826D1" w:rsidRDefault="004B07E2" w:rsidP="004B07E2"/>
    <w:p w14:paraId="512208EE" w14:textId="77777777" w:rsidR="00C42101" w:rsidRPr="004826D1" w:rsidRDefault="00C42101" w:rsidP="004B07E2"/>
    <w:p w14:paraId="21BD83D4" w14:textId="77777777" w:rsidR="00C42101" w:rsidRPr="004826D1" w:rsidRDefault="00C42101" w:rsidP="004B07E2"/>
    <w:p w14:paraId="7E772F08" w14:textId="1077F7B2" w:rsidR="004B07E2" w:rsidRPr="004826D1" w:rsidRDefault="000654E1" w:rsidP="00645D08">
      <w:pPr>
        <w:jc w:val="center"/>
      </w:pPr>
      <w:r>
        <w:rPr>
          <w:noProof/>
          <w:lang w:eastAsia="lv-LV"/>
        </w:rPr>
        <w:drawing>
          <wp:inline distT="0" distB="0" distL="0" distR="0" wp14:anchorId="117833CB" wp14:editId="11B60F5C">
            <wp:extent cx="5762625" cy="3343275"/>
            <wp:effectExtent l="0" t="0" r="9525" b="952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2625" cy="3343275"/>
                    </a:xfrm>
                    <a:prstGeom prst="rect">
                      <a:avLst/>
                    </a:prstGeom>
                    <a:noFill/>
                    <a:ln>
                      <a:noFill/>
                    </a:ln>
                  </pic:spPr>
                </pic:pic>
              </a:graphicData>
            </a:graphic>
          </wp:inline>
        </w:drawing>
      </w:r>
    </w:p>
    <w:p w14:paraId="3D545000" w14:textId="77777777" w:rsidR="004B07E2" w:rsidRPr="004826D1" w:rsidRDefault="009661E1" w:rsidP="003F4E2F">
      <w:pPr>
        <w:pStyle w:val="Title"/>
      </w:pPr>
      <w:r>
        <w:t>5.2</w:t>
      </w:r>
      <w:r w:rsidR="004B07E2" w:rsidRPr="004826D1">
        <w:t>. attēls. Gaisa kvalitāti ietekmējošo piesārņojošo vielu emisiju izmaiņu tendences 2005.-2016. gadā</w:t>
      </w:r>
    </w:p>
    <w:p w14:paraId="668DE0D8" w14:textId="77777777" w:rsidR="00645D08" w:rsidRPr="004826D1" w:rsidRDefault="00645D08" w:rsidP="004B07E2">
      <w:pPr>
        <w:jc w:val="both"/>
        <w:rPr>
          <w:rFonts w:cs="Times New Roman"/>
          <w:szCs w:val="24"/>
        </w:rPr>
      </w:pPr>
    </w:p>
    <w:p w14:paraId="6BF7BE4B" w14:textId="77777777" w:rsidR="00F647E9" w:rsidRPr="004826D1" w:rsidRDefault="00F647E9" w:rsidP="004B07E2">
      <w:pPr>
        <w:jc w:val="both"/>
        <w:rPr>
          <w:rFonts w:cs="Times New Roman"/>
          <w:szCs w:val="24"/>
        </w:rPr>
      </w:pPr>
    </w:p>
    <w:p w14:paraId="1A4C3ECE" w14:textId="77777777" w:rsidR="00F647E9" w:rsidRPr="004826D1" w:rsidRDefault="00F647E9" w:rsidP="004B07E2">
      <w:pPr>
        <w:jc w:val="both"/>
        <w:rPr>
          <w:rFonts w:cs="Times New Roman"/>
          <w:szCs w:val="24"/>
        </w:rPr>
      </w:pPr>
      <w:bookmarkStart w:id="212" w:name="_Toc536430199"/>
      <w:bookmarkStart w:id="213" w:name="_Toc536434422"/>
      <w:bookmarkStart w:id="214" w:name="_Toc536516544"/>
      <w:bookmarkStart w:id="215" w:name="_Toc536533756"/>
      <w:bookmarkStart w:id="216" w:name="_Toc536607606"/>
      <w:bookmarkStart w:id="217" w:name="_Toc1400538"/>
    </w:p>
    <w:p w14:paraId="7A122C8A" w14:textId="77777777" w:rsidR="004B07E2" w:rsidRPr="004826D1" w:rsidRDefault="006E2629" w:rsidP="00AE5109">
      <w:pPr>
        <w:pStyle w:val="Heading2"/>
        <w:spacing w:before="120" w:after="120"/>
        <w:rPr>
          <w:rFonts w:ascii="Times New Roman" w:hAnsi="Times New Roman"/>
          <w:sz w:val="24"/>
          <w:szCs w:val="24"/>
          <w:lang w:val="lv-LV"/>
        </w:rPr>
      </w:pPr>
      <w:bookmarkStart w:id="218" w:name="_Toc10128858"/>
      <w:bookmarkStart w:id="219" w:name="_Toc169602283"/>
      <w:r w:rsidRPr="004826D1">
        <w:rPr>
          <w:rFonts w:ascii="Times New Roman" w:hAnsi="Times New Roman"/>
          <w:sz w:val="24"/>
          <w:szCs w:val="24"/>
          <w:lang w:val="lv-LV"/>
        </w:rPr>
        <w:lastRenderedPageBreak/>
        <w:t xml:space="preserve">5.6.1. </w:t>
      </w:r>
      <w:r w:rsidR="004B07E2" w:rsidRPr="004826D1">
        <w:rPr>
          <w:rFonts w:ascii="Times New Roman" w:hAnsi="Times New Roman"/>
          <w:sz w:val="24"/>
          <w:szCs w:val="24"/>
          <w:lang w:val="lv-LV"/>
        </w:rPr>
        <w:t>Slāpekļa oksīdu emisijas</w:t>
      </w:r>
      <w:bookmarkEnd w:id="218"/>
      <w:bookmarkEnd w:id="219"/>
      <w:r w:rsidR="004B07E2" w:rsidRPr="004826D1">
        <w:rPr>
          <w:rFonts w:ascii="Times New Roman" w:hAnsi="Times New Roman"/>
          <w:sz w:val="24"/>
          <w:szCs w:val="24"/>
          <w:lang w:val="lv-LV"/>
        </w:rPr>
        <w:t xml:space="preserve"> </w:t>
      </w:r>
    </w:p>
    <w:bookmarkEnd w:id="212"/>
    <w:bookmarkEnd w:id="213"/>
    <w:bookmarkEnd w:id="214"/>
    <w:bookmarkEnd w:id="215"/>
    <w:bookmarkEnd w:id="216"/>
    <w:bookmarkEnd w:id="217"/>
    <w:p w14:paraId="2643A3D1" w14:textId="77777777" w:rsidR="004B07E2" w:rsidRPr="004826D1" w:rsidRDefault="004B07E2" w:rsidP="00AE5109">
      <w:pPr>
        <w:spacing w:before="120" w:after="120"/>
        <w:jc w:val="both"/>
        <w:rPr>
          <w:rFonts w:cs="Times New Roman"/>
          <w:szCs w:val="24"/>
        </w:rPr>
      </w:pPr>
      <w:r w:rsidRPr="004826D1">
        <w:rPr>
          <w:rFonts w:cs="Times New Roman"/>
          <w:szCs w:val="24"/>
        </w:rPr>
        <w:t>Laika periodā no 2005. līdz 2016. gadam</w:t>
      </w:r>
      <w:r w:rsidRPr="004826D1">
        <w:rPr>
          <w:rFonts w:cs="Times New Roman"/>
          <w:b/>
          <w:szCs w:val="24"/>
        </w:rPr>
        <w:t xml:space="preserve"> NO</w:t>
      </w:r>
      <w:r w:rsidRPr="004826D1">
        <w:rPr>
          <w:rFonts w:cs="Times New Roman"/>
          <w:b/>
          <w:szCs w:val="24"/>
          <w:vertAlign w:val="subscript"/>
        </w:rPr>
        <w:t>x</w:t>
      </w:r>
      <w:r w:rsidRPr="004826D1">
        <w:rPr>
          <w:rFonts w:cs="Times New Roman"/>
          <w:b/>
          <w:szCs w:val="24"/>
        </w:rPr>
        <w:t xml:space="preserve"> emisiju </w:t>
      </w:r>
      <w:r w:rsidRPr="004826D1">
        <w:rPr>
          <w:rFonts w:cs="Times New Roman"/>
          <w:szCs w:val="24"/>
        </w:rPr>
        <w:t xml:space="preserve">daudzums ir samazinājies par apmēram 17 %. </w:t>
      </w:r>
    </w:p>
    <w:p w14:paraId="0BF0622B" w14:textId="77777777" w:rsidR="004B07E2" w:rsidRPr="004826D1" w:rsidRDefault="004B07E2" w:rsidP="00AE5109">
      <w:pPr>
        <w:spacing w:before="120" w:after="120"/>
        <w:jc w:val="both"/>
        <w:rPr>
          <w:rFonts w:cs="Times New Roman"/>
          <w:szCs w:val="24"/>
        </w:rPr>
      </w:pPr>
      <w:r w:rsidRPr="004826D1">
        <w:rPr>
          <w:rFonts w:cs="Times New Roman"/>
          <w:szCs w:val="24"/>
        </w:rPr>
        <w:t>2016. gadā NO</w:t>
      </w:r>
      <w:r w:rsidRPr="004826D1">
        <w:rPr>
          <w:rFonts w:cs="Times New Roman"/>
          <w:szCs w:val="24"/>
          <w:vertAlign w:val="subscript"/>
        </w:rPr>
        <w:t>x</w:t>
      </w:r>
      <w:r w:rsidRPr="004826D1">
        <w:rPr>
          <w:rFonts w:cs="Times New Roman"/>
          <w:szCs w:val="24"/>
        </w:rPr>
        <w:t xml:space="preserve"> emisiju galvenais avots Latvijā bija transports (42 %), it īpaši autotransports, kas radīja 32 % no kopējām emisijām. Jāatzīmē, ka transporta radītās emisijas šajā laika periodā ir samazinājušās par 36 %. </w:t>
      </w:r>
    </w:p>
    <w:p w14:paraId="1FF2CBE9" w14:textId="77777777" w:rsidR="004B07E2" w:rsidRPr="004826D1" w:rsidRDefault="004B07E2" w:rsidP="00AE5109">
      <w:pPr>
        <w:spacing w:before="120" w:after="120"/>
        <w:jc w:val="both"/>
        <w:rPr>
          <w:rFonts w:cs="Times New Roman"/>
          <w:szCs w:val="24"/>
        </w:rPr>
      </w:pPr>
      <w:r w:rsidRPr="004826D1">
        <w:rPr>
          <w:rFonts w:cs="Times New Roman"/>
          <w:szCs w:val="24"/>
        </w:rPr>
        <w:t>Otrs lielākais emisiju avots ir kurināmā sadedzināšana pakalpojumu sektorā un mājsaimniecībās (21 %), kurā emisiju apjoms ir samazinājies 2016. gadā pret 2005. gadu par apmēram 19 %.</w:t>
      </w:r>
    </w:p>
    <w:p w14:paraId="40857DA4" w14:textId="77777777" w:rsidR="004B07E2" w:rsidRPr="004826D1" w:rsidRDefault="004B07E2" w:rsidP="00AE5109">
      <w:pPr>
        <w:spacing w:before="120" w:after="120"/>
        <w:jc w:val="both"/>
        <w:rPr>
          <w:rFonts w:cs="Times New Roman"/>
          <w:szCs w:val="24"/>
        </w:rPr>
      </w:pPr>
      <w:r w:rsidRPr="004826D1">
        <w:rPr>
          <w:rFonts w:cs="Times New Roman"/>
          <w:szCs w:val="24"/>
        </w:rPr>
        <w:t>Lauksaimniecības sektors rada 13 % no kopējām emisijām, un šajā sektorā emisijas ir pieaugušas 2016. gadā par 57 % salīdzinot ar 2005. gadu.</w:t>
      </w:r>
    </w:p>
    <w:p w14:paraId="5C31C7CE" w14:textId="77777777" w:rsidR="004B07E2" w:rsidRPr="004826D1" w:rsidRDefault="004B07E2" w:rsidP="00AE5109">
      <w:pPr>
        <w:spacing w:before="120" w:after="120"/>
        <w:jc w:val="both"/>
        <w:rPr>
          <w:rFonts w:cs="Times New Roman"/>
          <w:szCs w:val="24"/>
        </w:rPr>
      </w:pPr>
      <w:r w:rsidRPr="004826D1">
        <w:rPr>
          <w:rFonts w:cs="Times New Roman"/>
          <w:szCs w:val="24"/>
        </w:rPr>
        <w:t>Enerģijas pārveidošanas sektora</w:t>
      </w:r>
      <w:r w:rsidRPr="004826D1">
        <w:rPr>
          <w:rStyle w:val="FootnoteReference"/>
          <w:rFonts w:eastAsia="Calibri"/>
          <w:szCs w:val="24"/>
        </w:rPr>
        <w:footnoteReference w:id="55"/>
      </w:r>
      <w:r w:rsidRPr="004826D1">
        <w:rPr>
          <w:rFonts w:cs="Times New Roman"/>
          <w:szCs w:val="24"/>
        </w:rPr>
        <w:t xml:space="preserve"> emisijas sastāda 13 % no kopējām emisijām un to apjoms ir pieaudzis par 20 %. Iemesls tam ir saražotās enerģijas un līdz ar to sadedzinātā kurināmā pieaugums. Kurināmā sadedzināšanas rūpniecībā un rūpniecisko procesu radītās emisijas apskatāmajā laika posmā ir samazinājušās, un tās 2016. gadā sastāda attiecīgi 7 % un 4 % no kopējām NO</w:t>
      </w:r>
      <w:r w:rsidRPr="004826D1">
        <w:rPr>
          <w:rFonts w:cs="Times New Roman"/>
          <w:szCs w:val="24"/>
          <w:vertAlign w:val="subscript"/>
        </w:rPr>
        <w:t>x</w:t>
      </w:r>
      <w:r w:rsidRPr="004826D1">
        <w:rPr>
          <w:rFonts w:cs="Times New Roman"/>
          <w:szCs w:val="24"/>
        </w:rPr>
        <w:t xml:space="preserve"> emisijām Latvijā.</w:t>
      </w:r>
    </w:p>
    <w:p w14:paraId="7CCB11C2" w14:textId="77777777" w:rsidR="008913D1" w:rsidRPr="004826D1" w:rsidRDefault="008913D1" w:rsidP="00AE5109">
      <w:pPr>
        <w:spacing w:before="120" w:after="120"/>
        <w:jc w:val="both"/>
      </w:pPr>
      <w:r w:rsidRPr="004826D1">
        <w:t>Prognozētās NO</w:t>
      </w:r>
      <w:r w:rsidRPr="004826D1">
        <w:rPr>
          <w:vertAlign w:val="subscript"/>
        </w:rPr>
        <w:t>x</w:t>
      </w:r>
      <w:r w:rsidRPr="004826D1">
        <w:t xml:space="preserve"> emisijas 2030. gadā ir par apmēram 2,6 % mazākas nekā noteiktais emisiju mērķis</w:t>
      </w:r>
      <w:r w:rsidR="004E5D5A" w:rsidRPr="004826D1">
        <w:t xml:space="preserve"> (skat. </w:t>
      </w:r>
      <w:r w:rsidR="009661E1">
        <w:t>5.3</w:t>
      </w:r>
      <w:r w:rsidR="004E5D5A" w:rsidRPr="004826D1">
        <w:t>. att.)</w:t>
      </w:r>
      <w:r w:rsidRPr="004826D1">
        <w:t xml:space="preserve">. </w:t>
      </w:r>
    </w:p>
    <w:p w14:paraId="15753D36" w14:textId="77777777" w:rsidR="00F647E9" w:rsidRPr="004826D1" w:rsidRDefault="00F647E9" w:rsidP="008913D1">
      <w:pPr>
        <w:jc w:val="both"/>
      </w:pPr>
    </w:p>
    <w:p w14:paraId="4DB9EC4D" w14:textId="77777777" w:rsidR="00F647E9" w:rsidRPr="004826D1" w:rsidRDefault="00F647E9" w:rsidP="008913D1">
      <w:pPr>
        <w:jc w:val="both"/>
      </w:pPr>
    </w:p>
    <w:p w14:paraId="70AB1BD6" w14:textId="77777777" w:rsidR="004E5D5A" w:rsidRPr="004826D1" w:rsidRDefault="004E5D5A" w:rsidP="008913D1">
      <w:pPr>
        <w:jc w:val="both"/>
      </w:pPr>
    </w:p>
    <w:p w14:paraId="6F57E716" w14:textId="77777777" w:rsidR="004E5D5A" w:rsidRPr="004826D1" w:rsidRDefault="004E5D5A" w:rsidP="008913D1">
      <w:pPr>
        <w:jc w:val="both"/>
      </w:pPr>
    </w:p>
    <w:p w14:paraId="1A492B0F" w14:textId="08B5677D" w:rsidR="008913D1" w:rsidRPr="004826D1" w:rsidRDefault="000654E1" w:rsidP="008913D1">
      <w:pPr>
        <w:jc w:val="center"/>
      </w:pPr>
      <w:r>
        <w:rPr>
          <w:noProof/>
          <w:lang w:eastAsia="lv-LV"/>
        </w:rPr>
        <w:drawing>
          <wp:inline distT="0" distB="0" distL="0" distR="0" wp14:anchorId="5B302EBC" wp14:editId="11E13B87">
            <wp:extent cx="5753100" cy="3438525"/>
            <wp:effectExtent l="0" t="0" r="0" b="9525"/>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3438525"/>
                    </a:xfrm>
                    <a:prstGeom prst="rect">
                      <a:avLst/>
                    </a:prstGeom>
                    <a:noFill/>
                    <a:ln>
                      <a:noFill/>
                    </a:ln>
                  </pic:spPr>
                </pic:pic>
              </a:graphicData>
            </a:graphic>
          </wp:inline>
        </w:drawing>
      </w:r>
    </w:p>
    <w:p w14:paraId="04059FDE" w14:textId="77777777" w:rsidR="008913D1" w:rsidRPr="004826D1" w:rsidRDefault="009661E1" w:rsidP="004E5D5A">
      <w:pPr>
        <w:pStyle w:val="Title"/>
        <w:jc w:val="left"/>
      </w:pPr>
      <w:r>
        <w:t>5.3</w:t>
      </w:r>
      <w:r w:rsidR="008913D1" w:rsidRPr="004826D1">
        <w:t>. attēls. Aprēķinātās NOx emisiju prognozes scenārijā ar papildu pasākumiem un mērķa trajektorija 2020. – 2030. gads</w:t>
      </w:r>
    </w:p>
    <w:p w14:paraId="66D2AAB6" w14:textId="77777777" w:rsidR="008913D1" w:rsidRPr="004826D1" w:rsidRDefault="008913D1" w:rsidP="004B07E2">
      <w:pPr>
        <w:jc w:val="both"/>
        <w:rPr>
          <w:rFonts w:cs="Times New Roman"/>
          <w:szCs w:val="24"/>
        </w:rPr>
      </w:pPr>
    </w:p>
    <w:p w14:paraId="3AEC089F" w14:textId="77777777" w:rsidR="000C7984" w:rsidRPr="004826D1" w:rsidRDefault="000C7984" w:rsidP="004B07E2">
      <w:pPr>
        <w:jc w:val="both"/>
        <w:rPr>
          <w:rFonts w:cs="Times New Roman"/>
          <w:szCs w:val="24"/>
        </w:rPr>
      </w:pPr>
    </w:p>
    <w:p w14:paraId="0C1382F2" w14:textId="77777777" w:rsidR="00C42101" w:rsidRPr="004826D1" w:rsidRDefault="00C42101" w:rsidP="004B07E2">
      <w:pPr>
        <w:jc w:val="both"/>
        <w:rPr>
          <w:rFonts w:cs="Times New Roman"/>
          <w:szCs w:val="24"/>
        </w:rPr>
      </w:pPr>
    </w:p>
    <w:p w14:paraId="639346D1" w14:textId="77777777" w:rsidR="000C7984" w:rsidRPr="004826D1" w:rsidRDefault="006E2629" w:rsidP="00AE5109">
      <w:pPr>
        <w:pStyle w:val="Heading2"/>
        <w:spacing w:before="120" w:after="120"/>
        <w:rPr>
          <w:rFonts w:ascii="Times New Roman" w:hAnsi="Times New Roman"/>
          <w:sz w:val="24"/>
          <w:szCs w:val="24"/>
          <w:lang w:val="lv-LV"/>
        </w:rPr>
      </w:pPr>
      <w:bookmarkStart w:id="220" w:name="_Toc169602284"/>
      <w:r w:rsidRPr="004826D1">
        <w:rPr>
          <w:rFonts w:ascii="Times New Roman" w:hAnsi="Times New Roman"/>
          <w:sz w:val="24"/>
          <w:szCs w:val="24"/>
          <w:lang w:val="lv-LV"/>
        </w:rPr>
        <w:lastRenderedPageBreak/>
        <w:t xml:space="preserve">5.6.2. </w:t>
      </w:r>
      <w:r w:rsidR="000C7984" w:rsidRPr="004826D1">
        <w:rPr>
          <w:rFonts w:ascii="Times New Roman" w:hAnsi="Times New Roman"/>
          <w:sz w:val="24"/>
          <w:szCs w:val="24"/>
          <w:lang w:val="lv-LV"/>
        </w:rPr>
        <w:t>Sēra dioksīda emisijas</w:t>
      </w:r>
      <w:bookmarkEnd w:id="220"/>
      <w:r w:rsidR="000C7984" w:rsidRPr="004826D1">
        <w:rPr>
          <w:rFonts w:ascii="Times New Roman" w:hAnsi="Times New Roman"/>
          <w:sz w:val="24"/>
          <w:szCs w:val="24"/>
          <w:lang w:val="lv-LV"/>
        </w:rPr>
        <w:t xml:space="preserve"> </w:t>
      </w:r>
    </w:p>
    <w:p w14:paraId="2410B604" w14:textId="77777777" w:rsidR="000C7984" w:rsidRPr="004826D1" w:rsidRDefault="000C7984" w:rsidP="00AE5109">
      <w:pPr>
        <w:spacing w:before="120" w:after="120"/>
        <w:jc w:val="both"/>
      </w:pPr>
      <w:r w:rsidRPr="004826D1">
        <w:t>Laika periodā no 2005. līdz 2016. gadam kopējās SO</w:t>
      </w:r>
      <w:r w:rsidRPr="004826D1">
        <w:rPr>
          <w:vertAlign w:val="subscript"/>
        </w:rPr>
        <w:t>2</w:t>
      </w:r>
      <w:r w:rsidRPr="004826D1">
        <w:rPr>
          <w:b/>
          <w:vertAlign w:val="subscript"/>
        </w:rPr>
        <w:t xml:space="preserve"> </w:t>
      </w:r>
      <w:r w:rsidRPr="004826D1">
        <w:t xml:space="preserve">emisijas ir samazinājušās par 59 %. </w:t>
      </w:r>
    </w:p>
    <w:p w14:paraId="3023751F" w14:textId="77777777" w:rsidR="000C7984" w:rsidRPr="004826D1" w:rsidRDefault="000C7984" w:rsidP="00AE5109">
      <w:pPr>
        <w:spacing w:before="120" w:after="120"/>
        <w:jc w:val="both"/>
      </w:pPr>
      <w:r w:rsidRPr="004826D1">
        <w:t xml:space="preserve">Latvijā nav nozīmīgu </w:t>
      </w:r>
      <w:r w:rsidRPr="004826D1">
        <w:rPr>
          <w:b/>
        </w:rPr>
        <w:t>SO</w:t>
      </w:r>
      <w:r w:rsidRPr="004826D1">
        <w:rPr>
          <w:b/>
          <w:vertAlign w:val="subscript"/>
        </w:rPr>
        <w:t xml:space="preserve">2 </w:t>
      </w:r>
      <w:r w:rsidRPr="004826D1">
        <w:rPr>
          <w:b/>
        </w:rPr>
        <w:t>emisijas</w:t>
      </w:r>
      <w:r w:rsidRPr="004826D1">
        <w:t xml:space="preserve"> izraisošu tautsaimniecības nozaru, piemēram, celulozes, sērskābes un sērorganisko savienojumu ražošana vai arī naftas pārstrādes rūpnīcu. Lielākie SO</w:t>
      </w:r>
      <w:r w:rsidRPr="004826D1">
        <w:rPr>
          <w:vertAlign w:val="subscript"/>
        </w:rPr>
        <w:t>2</w:t>
      </w:r>
      <w:r w:rsidRPr="004826D1">
        <w:t xml:space="preserve"> emisiju avoti 2016. gadā ir kurināmā sadedzināšana pakalpojumu sektorā un mājsaimniecībās (49 %), enerģijas pārveidošanas sektors (23 %) un kurināmā sadedzināš</w:t>
      </w:r>
      <w:r w:rsidR="008913D1" w:rsidRPr="004826D1">
        <w:t>ana rūpniecības sektorā (23 %).</w:t>
      </w:r>
    </w:p>
    <w:p w14:paraId="5B50EC8B" w14:textId="77777777" w:rsidR="008913D1" w:rsidRPr="004826D1" w:rsidRDefault="008913D1" w:rsidP="00AE5109">
      <w:pPr>
        <w:spacing w:before="120" w:after="120"/>
        <w:jc w:val="both"/>
      </w:pPr>
      <w:r w:rsidRPr="004826D1">
        <w:t>Prognozētās SO</w:t>
      </w:r>
      <w:r w:rsidRPr="004826D1">
        <w:rPr>
          <w:vertAlign w:val="subscript"/>
        </w:rPr>
        <w:t>2</w:t>
      </w:r>
      <w:r w:rsidRPr="004826D1">
        <w:t xml:space="preserve"> emisijas 2030. gadā ir par apmēram 7,8 % mazākas nekā noteiktais emisiju mērķis</w:t>
      </w:r>
      <w:r w:rsidR="00740F16" w:rsidRPr="004826D1">
        <w:t xml:space="preserve"> </w:t>
      </w:r>
      <w:r w:rsidR="008912B6" w:rsidRPr="004826D1">
        <w:t xml:space="preserve">(skat. </w:t>
      </w:r>
      <w:r w:rsidR="009661E1">
        <w:t>5.4</w:t>
      </w:r>
      <w:r w:rsidR="004E5D5A" w:rsidRPr="004826D1">
        <w:t>. att.)</w:t>
      </w:r>
      <w:r w:rsidRPr="004826D1">
        <w:t xml:space="preserve">. </w:t>
      </w:r>
    </w:p>
    <w:p w14:paraId="4A8F78DF" w14:textId="77777777" w:rsidR="008913D1" w:rsidRPr="004826D1" w:rsidRDefault="008913D1" w:rsidP="008913D1">
      <w:pPr>
        <w:jc w:val="both"/>
        <w:rPr>
          <w:u w:val="single"/>
        </w:rPr>
      </w:pPr>
    </w:p>
    <w:p w14:paraId="7D1CDDD2" w14:textId="340226D0" w:rsidR="008913D1" w:rsidRPr="004826D1" w:rsidRDefault="000654E1" w:rsidP="008913D1">
      <w:pPr>
        <w:jc w:val="center"/>
        <w:rPr>
          <w:szCs w:val="24"/>
        </w:rPr>
      </w:pPr>
      <w:r>
        <w:rPr>
          <w:noProof/>
          <w:szCs w:val="24"/>
          <w:lang w:eastAsia="lv-LV"/>
        </w:rPr>
        <w:drawing>
          <wp:inline distT="0" distB="0" distL="0" distR="0" wp14:anchorId="4B679BF5" wp14:editId="066D8E8B">
            <wp:extent cx="5715000" cy="3429000"/>
            <wp:effectExtent l="0" t="0" r="0"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14:paraId="5776C72F" w14:textId="77777777" w:rsidR="008913D1" w:rsidRPr="004826D1" w:rsidRDefault="009661E1" w:rsidP="008E29A3">
      <w:pPr>
        <w:pStyle w:val="Title"/>
        <w:jc w:val="left"/>
      </w:pPr>
      <w:r>
        <w:t>5.4</w:t>
      </w:r>
      <w:r w:rsidR="008913D1" w:rsidRPr="004826D1">
        <w:t>. attēls. Aprēķinātās SO</w:t>
      </w:r>
      <w:r w:rsidR="008913D1" w:rsidRPr="004826D1">
        <w:rPr>
          <w:vertAlign w:val="subscript"/>
        </w:rPr>
        <w:t>2</w:t>
      </w:r>
      <w:r w:rsidR="008913D1" w:rsidRPr="004826D1">
        <w:t xml:space="preserve"> emisiju prognozes scenārijā ar papildu pasākumiem no 2020. līdz 2030. gadam</w:t>
      </w:r>
    </w:p>
    <w:p w14:paraId="02C446B2" w14:textId="77777777" w:rsidR="008913D1" w:rsidRPr="004826D1" w:rsidRDefault="008913D1" w:rsidP="000C7984">
      <w:pPr>
        <w:jc w:val="both"/>
      </w:pPr>
    </w:p>
    <w:p w14:paraId="3ED8CE5D" w14:textId="77777777" w:rsidR="000C7984" w:rsidRPr="004826D1" w:rsidRDefault="000C7984" w:rsidP="004B07E2">
      <w:pPr>
        <w:jc w:val="both"/>
        <w:rPr>
          <w:rFonts w:cs="Times New Roman"/>
          <w:szCs w:val="24"/>
        </w:rPr>
      </w:pPr>
    </w:p>
    <w:p w14:paraId="1E71AC5E" w14:textId="77777777" w:rsidR="00592D63" w:rsidRPr="004826D1" w:rsidRDefault="006E2629" w:rsidP="00AE5109">
      <w:pPr>
        <w:pStyle w:val="Heading2"/>
        <w:spacing w:before="120" w:after="120"/>
        <w:jc w:val="both"/>
        <w:rPr>
          <w:rFonts w:ascii="Times New Roman" w:hAnsi="Times New Roman"/>
          <w:sz w:val="24"/>
          <w:szCs w:val="24"/>
          <w:lang w:val="lv-LV"/>
        </w:rPr>
      </w:pPr>
      <w:bookmarkStart w:id="221" w:name="_Toc10128860"/>
      <w:bookmarkStart w:id="222" w:name="_Toc169602285"/>
      <w:r w:rsidRPr="004826D1">
        <w:rPr>
          <w:rFonts w:ascii="Times New Roman" w:hAnsi="Times New Roman"/>
          <w:sz w:val="24"/>
          <w:szCs w:val="24"/>
          <w:lang w:val="lv-LV"/>
        </w:rPr>
        <w:t xml:space="preserve">5.6.3. </w:t>
      </w:r>
      <w:r w:rsidR="00592D63" w:rsidRPr="004826D1">
        <w:rPr>
          <w:rFonts w:ascii="Times New Roman" w:hAnsi="Times New Roman"/>
          <w:sz w:val="24"/>
          <w:szCs w:val="24"/>
          <w:lang w:val="lv-LV"/>
        </w:rPr>
        <w:t>Nemetāna gaistošo organisko savienojumu emisijas</w:t>
      </w:r>
      <w:bookmarkEnd w:id="221"/>
      <w:bookmarkEnd w:id="222"/>
    </w:p>
    <w:p w14:paraId="09EE4FD1" w14:textId="77777777" w:rsidR="00592D63" w:rsidRPr="004826D1" w:rsidRDefault="00592D63" w:rsidP="00AE5109">
      <w:pPr>
        <w:spacing w:before="120" w:after="120"/>
        <w:jc w:val="both"/>
        <w:rPr>
          <w:rFonts w:cs="Times New Roman"/>
          <w:szCs w:val="24"/>
        </w:rPr>
      </w:pPr>
      <w:r w:rsidRPr="004826D1">
        <w:rPr>
          <w:rFonts w:cs="Times New Roman"/>
          <w:szCs w:val="24"/>
        </w:rPr>
        <w:t xml:space="preserve">Kopējās </w:t>
      </w:r>
      <w:r w:rsidRPr="004826D1">
        <w:rPr>
          <w:rFonts w:cs="Times New Roman"/>
          <w:b/>
          <w:szCs w:val="24"/>
        </w:rPr>
        <w:t xml:space="preserve">NMGOS </w:t>
      </w:r>
      <w:r w:rsidRPr="004826D1">
        <w:rPr>
          <w:rFonts w:cs="Times New Roman"/>
          <w:szCs w:val="24"/>
        </w:rPr>
        <w:t>emisijas laika periodā no 2005. līdz 2016. gadam ir samazinājušās par apmēram 23,5 %.</w:t>
      </w:r>
    </w:p>
    <w:p w14:paraId="1678CB36" w14:textId="77777777" w:rsidR="00592D63" w:rsidRPr="004826D1" w:rsidRDefault="00592D63" w:rsidP="00AE5109">
      <w:pPr>
        <w:spacing w:before="120" w:after="120"/>
        <w:jc w:val="both"/>
        <w:rPr>
          <w:rFonts w:cs="Times New Roman"/>
          <w:szCs w:val="24"/>
        </w:rPr>
      </w:pPr>
      <w:r w:rsidRPr="004826D1">
        <w:rPr>
          <w:rFonts w:cs="Times New Roman"/>
          <w:szCs w:val="24"/>
        </w:rPr>
        <w:t>NMGOS</w:t>
      </w:r>
      <w:r w:rsidRPr="004826D1">
        <w:rPr>
          <w:rFonts w:cs="Times New Roman"/>
          <w:b/>
          <w:szCs w:val="24"/>
        </w:rPr>
        <w:t xml:space="preserve"> </w:t>
      </w:r>
      <w:r w:rsidRPr="004826D1">
        <w:rPr>
          <w:rFonts w:cs="Times New Roman"/>
          <w:szCs w:val="24"/>
        </w:rPr>
        <w:t xml:space="preserve">emisiju galvenie avoti Latvijā 2016. gadā bija šķīdinātāju un specifisku ķīmisko produktu (krāsas, lakas, polimērie pārklājumu materiāli u.c.) izmantošana (31 %), mājsaimniecības un pakalpojumu sektors (24 %), lauksaimniecība (19 %), kurināmā sadedzināšana rūpniecības sektorā (11 %) un transports (7 %). Galvenā NMGOS emisiju avota – šķīdinātāju un specifisko ķīmisko produktu izmantošanas – radīto emisiju apjoms ir samazinājies par 9 % un pakalpojumu sektorā un mājsaimniecībās emisijas ir samazinājušās par apmēram 42 %. </w:t>
      </w:r>
    </w:p>
    <w:p w14:paraId="331898A1" w14:textId="77777777" w:rsidR="00592D63" w:rsidRPr="004826D1" w:rsidRDefault="00592D63" w:rsidP="00AE5109">
      <w:pPr>
        <w:spacing w:before="120" w:after="120"/>
        <w:jc w:val="both"/>
        <w:rPr>
          <w:rFonts w:cs="Times New Roman"/>
          <w:szCs w:val="24"/>
        </w:rPr>
      </w:pPr>
      <w:r w:rsidRPr="004826D1">
        <w:rPr>
          <w:rFonts w:cs="Times New Roman"/>
          <w:szCs w:val="24"/>
        </w:rPr>
        <w:t xml:space="preserve">Transporta sektora radītās emisijas ir samazinājušās par 71 %, ko radīja pāreja no benzīna izmantošanas uz dīzeļdegvielas izmantošanu autotransportā. </w:t>
      </w:r>
    </w:p>
    <w:p w14:paraId="51A4334D" w14:textId="77777777" w:rsidR="00592D63" w:rsidRPr="004826D1" w:rsidRDefault="00592D63" w:rsidP="00AE5109">
      <w:pPr>
        <w:spacing w:before="120" w:after="120"/>
        <w:jc w:val="both"/>
        <w:rPr>
          <w:rFonts w:cs="Times New Roman"/>
          <w:szCs w:val="24"/>
        </w:rPr>
      </w:pPr>
      <w:r w:rsidRPr="004826D1">
        <w:rPr>
          <w:rFonts w:cs="Times New Roman"/>
          <w:szCs w:val="24"/>
        </w:rPr>
        <w:t>Turpretim šajā laika posmā ir palielinājušās emisijas no kurināmā sadedzināšanas rūpniecības sektorā. Kā viens no galvenajiem iemesliem šai tendencei ir pāreja no dabas gāzes izmantošanas uz biomasas izmantošanu enerģijas ražošanā.</w:t>
      </w:r>
    </w:p>
    <w:p w14:paraId="2350F082" w14:textId="77777777" w:rsidR="008913D1" w:rsidRPr="004826D1" w:rsidRDefault="008913D1" w:rsidP="00AE5109">
      <w:pPr>
        <w:spacing w:before="120" w:after="120"/>
        <w:jc w:val="both"/>
        <w:rPr>
          <w:rFonts w:cs="Times New Roman"/>
          <w:szCs w:val="24"/>
        </w:rPr>
      </w:pPr>
    </w:p>
    <w:p w14:paraId="73277567" w14:textId="77777777" w:rsidR="008913D1" w:rsidRPr="004826D1" w:rsidRDefault="008913D1" w:rsidP="00AE5109">
      <w:pPr>
        <w:spacing w:before="120" w:after="120"/>
        <w:jc w:val="both"/>
        <w:rPr>
          <w:u w:val="single"/>
        </w:rPr>
      </w:pPr>
      <w:r w:rsidRPr="004826D1">
        <w:t>Prognozētās NMGOS emisijas 2030. gadā ir par apmēram 6,9 % mazākas nekā noteiktais emisiju mērķis</w:t>
      </w:r>
      <w:r w:rsidR="00740F16" w:rsidRPr="004826D1">
        <w:t xml:space="preserve"> </w:t>
      </w:r>
      <w:r w:rsidR="009661E1">
        <w:t>(skat. 5.5</w:t>
      </w:r>
      <w:r w:rsidR="00692F49" w:rsidRPr="004826D1">
        <w:t>. att.).</w:t>
      </w:r>
      <w:r w:rsidRPr="004826D1">
        <w:rPr>
          <w:u w:val="single"/>
        </w:rPr>
        <w:t xml:space="preserve"> </w:t>
      </w:r>
    </w:p>
    <w:p w14:paraId="4BCFE9E0" w14:textId="77777777" w:rsidR="008913D1" w:rsidRPr="004826D1" w:rsidRDefault="008913D1" w:rsidP="00AE5109">
      <w:pPr>
        <w:spacing w:before="120" w:after="120"/>
        <w:jc w:val="both"/>
        <w:rPr>
          <w:szCs w:val="24"/>
        </w:rPr>
      </w:pPr>
    </w:p>
    <w:p w14:paraId="024C2127" w14:textId="59DF9AC6" w:rsidR="008913D1" w:rsidRPr="004826D1" w:rsidRDefault="000654E1" w:rsidP="00AE5109">
      <w:pPr>
        <w:keepNext/>
        <w:spacing w:before="120" w:after="120"/>
        <w:jc w:val="center"/>
      </w:pPr>
      <w:r>
        <w:rPr>
          <w:noProof/>
          <w:lang w:eastAsia="lv-LV"/>
        </w:rPr>
        <w:drawing>
          <wp:inline distT="0" distB="0" distL="0" distR="0" wp14:anchorId="60D6EA76" wp14:editId="3C5311D3">
            <wp:extent cx="5667375" cy="3371850"/>
            <wp:effectExtent l="0" t="0" r="9525" b="0"/>
            <wp:docPr id="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67375" cy="3371850"/>
                    </a:xfrm>
                    <a:prstGeom prst="rect">
                      <a:avLst/>
                    </a:prstGeom>
                    <a:noFill/>
                    <a:ln>
                      <a:noFill/>
                    </a:ln>
                  </pic:spPr>
                </pic:pic>
              </a:graphicData>
            </a:graphic>
          </wp:inline>
        </w:drawing>
      </w:r>
    </w:p>
    <w:p w14:paraId="3DA0826D" w14:textId="77777777" w:rsidR="008913D1" w:rsidRPr="004826D1" w:rsidRDefault="009661E1" w:rsidP="00AE5109">
      <w:pPr>
        <w:pStyle w:val="Title"/>
        <w:spacing w:before="120" w:after="120"/>
      </w:pPr>
      <w:r>
        <w:t>5.5</w:t>
      </w:r>
      <w:r w:rsidR="008913D1" w:rsidRPr="004826D1">
        <w:t>. attēls. Aprēķinātās NMGOS emisiju prognozes scenārijā ar papildu pasākumiem no 2020. līdz 2030. gadam</w:t>
      </w:r>
    </w:p>
    <w:p w14:paraId="51B85E59" w14:textId="77777777" w:rsidR="008913D1" w:rsidRPr="004826D1" w:rsidRDefault="008913D1" w:rsidP="00AE5109">
      <w:pPr>
        <w:spacing w:before="120" w:after="120"/>
        <w:jc w:val="both"/>
        <w:rPr>
          <w:rFonts w:cs="Times New Roman"/>
          <w:szCs w:val="24"/>
        </w:rPr>
      </w:pPr>
    </w:p>
    <w:p w14:paraId="29086981" w14:textId="77777777" w:rsidR="00C42101" w:rsidRPr="004826D1" w:rsidRDefault="00C42101" w:rsidP="00AE5109">
      <w:pPr>
        <w:spacing w:before="120" w:after="120"/>
        <w:jc w:val="both"/>
        <w:rPr>
          <w:rFonts w:cs="Times New Roman"/>
          <w:szCs w:val="24"/>
        </w:rPr>
      </w:pPr>
    </w:p>
    <w:p w14:paraId="42C4464A" w14:textId="77777777" w:rsidR="00C42101" w:rsidRPr="004826D1" w:rsidRDefault="00C42101" w:rsidP="00AE5109">
      <w:pPr>
        <w:spacing w:before="120" w:after="120"/>
        <w:jc w:val="both"/>
        <w:rPr>
          <w:rFonts w:cs="Times New Roman"/>
          <w:szCs w:val="24"/>
        </w:rPr>
      </w:pPr>
    </w:p>
    <w:p w14:paraId="7EC96935" w14:textId="77777777" w:rsidR="00C42101" w:rsidRPr="004826D1" w:rsidRDefault="00C42101" w:rsidP="00AE5109">
      <w:pPr>
        <w:spacing w:before="120" w:after="120"/>
        <w:jc w:val="both"/>
        <w:rPr>
          <w:rFonts w:cs="Times New Roman"/>
          <w:szCs w:val="24"/>
        </w:rPr>
      </w:pPr>
    </w:p>
    <w:p w14:paraId="0FD61EC7" w14:textId="77777777" w:rsidR="004B07E2" w:rsidRPr="004826D1" w:rsidRDefault="004B07E2" w:rsidP="00AE5109">
      <w:pPr>
        <w:spacing w:before="120" w:after="120"/>
        <w:jc w:val="both"/>
        <w:rPr>
          <w:rFonts w:cs="Times New Roman"/>
          <w:szCs w:val="24"/>
        </w:rPr>
      </w:pPr>
    </w:p>
    <w:p w14:paraId="246769F9" w14:textId="77777777" w:rsidR="00CD2251" w:rsidRPr="004826D1" w:rsidRDefault="006E2629" w:rsidP="00AE5109">
      <w:pPr>
        <w:pStyle w:val="Heading2"/>
        <w:spacing w:before="120" w:after="120"/>
        <w:jc w:val="both"/>
        <w:rPr>
          <w:rFonts w:ascii="Times New Roman" w:hAnsi="Times New Roman"/>
          <w:sz w:val="24"/>
          <w:szCs w:val="24"/>
          <w:lang w:val="lv-LV"/>
        </w:rPr>
      </w:pPr>
      <w:bookmarkStart w:id="223" w:name="_Toc10128861"/>
      <w:bookmarkStart w:id="224" w:name="_Toc169602286"/>
      <w:r w:rsidRPr="004826D1">
        <w:rPr>
          <w:rFonts w:ascii="Times New Roman" w:hAnsi="Times New Roman"/>
          <w:sz w:val="24"/>
          <w:szCs w:val="24"/>
          <w:lang w:val="lv-LV"/>
        </w:rPr>
        <w:t xml:space="preserve">5.6.4. </w:t>
      </w:r>
      <w:r w:rsidR="00CD2251" w:rsidRPr="004826D1">
        <w:rPr>
          <w:rFonts w:ascii="Times New Roman" w:hAnsi="Times New Roman"/>
          <w:sz w:val="24"/>
          <w:szCs w:val="24"/>
          <w:lang w:val="lv-LV"/>
        </w:rPr>
        <w:t>Amonjaka emisijas</w:t>
      </w:r>
      <w:bookmarkEnd w:id="223"/>
      <w:bookmarkEnd w:id="224"/>
    </w:p>
    <w:p w14:paraId="2E593958" w14:textId="77777777" w:rsidR="00CD2251" w:rsidRPr="004826D1" w:rsidRDefault="00CD2251" w:rsidP="00AE5109">
      <w:pPr>
        <w:spacing w:before="120" w:after="120"/>
        <w:jc w:val="both"/>
        <w:rPr>
          <w:rFonts w:cs="Times New Roman"/>
          <w:szCs w:val="24"/>
        </w:rPr>
      </w:pPr>
      <w:r w:rsidRPr="004826D1">
        <w:rPr>
          <w:rFonts w:cs="Times New Roman"/>
          <w:szCs w:val="24"/>
        </w:rPr>
        <w:t xml:space="preserve">Kopējās </w:t>
      </w:r>
      <w:r w:rsidRPr="004826D1">
        <w:rPr>
          <w:rFonts w:cs="Times New Roman"/>
          <w:b/>
          <w:szCs w:val="24"/>
        </w:rPr>
        <w:t>NH</w:t>
      </w:r>
      <w:r w:rsidRPr="004826D1">
        <w:rPr>
          <w:rFonts w:cs="Times New Roman"/>
          <w:b/>
          <w:szCs w:val="24"/>
          <w:vertAlign w:val="subscript"/>
        </w:rPr>
        <w:t>3</w:t>
      </w:r>
      <w:r w:rsidRPr="004826D1">
        <w:rPr>
          <w:rFonts w:cs="Times New Roman"/>
          <w:b/>
          <w:szCs w:val="24"/>
        </w:rPr>
        <w:t xml:space="preserve"> emisijas</w:t>
      </w:r>
      <w:r w:rsidRPr="004826D1">
        <w:rPr>
          <w:rFonts w:cs="Times New Roman"/>
          <w:szCs w:val="24"/>
        </w:rPr>
        <w:t xml:space="preserve"> laika periodā 2005.–2016. gads ir palielinājušās par 9 %. Kopējās lauksaimnieciskās ražošanas sektora amonjaka emisijas 2016. gadā ir par 17 % lielākas, salīdzinot ar 2005. gadu. Emisiju pieauguma iemesls ir lauksaimnieciskās ražošanas pieaugums, kas ietver gan dzīvnieku skaita pieaugumu, gan to produktivitātes pieaugumu, gan arī to, ka lielāks minerālmēslu daudzums tiek izmantots augkopībā, palielinoties platībai un ražībai.</w:t>
      </w:r>
    </w:p>
    <w:p w14:paraId="2FF9AE2D" w14:textId="77777777" w:rsidR="00CD2251" w:rsidRPr="004826D1" w:rsidRDefault="00CD2251" w:rsidP="00AE5109">
      <w:pPr>
        <w:spacing w:before="120" w:after="120"/>
        <w:jc w:val="both"/>
        <w:rPr>
          <w:rFonts w:cs="Times New Roman"/>
          <w:szCs w:val="24"/>
        </w:rPr>
      </w:pPr>
      <w:r w:rsidRPr="004826D1">
        <w:rPr>
          <w:rFonts w:cs="Times New Roman"/>
          <w:szCs w:val="24"/>
        </w:rPr>
        <w:t>NH</w:t>
      </w:r>
      <w:r w:rsidRPr="004826D1">
        <w:rPr>
          <w:rFonts w:cs="Times New Roman"/>
          <w:szCs w:val="24"/>
          <w:vertAlign w:val="subscript"/>
        </w:rPr>
        <w:t>3</w:t>
      </w:r>
      <w:r w:rsidRPr="004826D1">
        <w:rPr>
          <w:rFonts w:cs="Times New Roman"/>
          <w:szCs w:val="24"/>
        </w:rPr>
        <w:t xml:space="preserve"> emisijas galvenokārt veidojas ar lauksaimniecisko ražošanu saistīto procesu rezultātā, un šīs aktivitātes radīja 86 % no kopējām NH</w:t>
      </w:r>
      <w:r w:rsidRPr="004826D1">
        <w:rPr>
          <w:rFonts w:cs="Times New Roman"/>
          <w:szCs w:val="24"/>
          <w:vertAlign w:val="subscript"/>
        </w:rPr>
        <w:t>3</w:t>
      </w:r>
      <w:r w:rsidRPr="004826D1">
        <w:rPr>
          <w:rFonts w:cs="Times New Roman"/>
          <w:szCs w:val="24"/>
        </w:rPr>
        <w:t xml:space="preserve"> emisijām Latvijā 2016. gadā. Nākamie lielākie emisiju avoti bija kurināmā sadedzināšana pakalpojumu sektorā un mājsaimniecībās (8 %) un kurināmā izmantošana enerģijas ražošanai rūpniecības sektorā (3 %). </w:t>
      </w:r>
    </w:p>
    <w:p w14:paraId="189BB996" w14:textId="77777777" w:rsidR="00CD2251" w:rsidRPr="004826D1" w:rsidRDefault="00CD2251" w:rsidP="00AE5109">
      <w:pPr>
        <w:spacing w:before="120" w:after="120"/>
        <w:jc w:val="both"/>
        <w:rPr>
          <w:rFonts w:cs="Times New Roman"/>
          <w:szCs w:val="24"/>
        </w:rPr>
      </w:pPr>
      <w:r w:rsidRPr="004826D1">
        <w:rPr>
          <w:rFonts w:cs="Times New Roman"/>
          <w:szCs w:val="24"/>
        </w:rPr>
        <w:t>Divi svarīgākie emisiju avoti 2016. gadā lauksaimnieciskajā ražošanā ir kūtsmēslu apsaimniekošanas sistēmas (49,3 %) un minerālmēslu un kūtsmēslu izmantošana (50,7 %). Ja NH</w:t>
      </w:r>
      <w:r w:rsidRPr="004826D1">
        <w:rPr>
          <w:rFonts w:cs="Times New Roman"/>
          <w:szCs w:val="24"/>
          <w:vertAlign w:val="subscript"/>
        </w:rPr>
        <w:t>3</w:t>
      </w:r>
      <w:r w:rsidRPr="004826D1">
        <w:rPr>
          <w:rFonts w:cs="Times New Roman"/>
          <w:szCs w:val="24"/>
        </w:rPr>
        <w:t xml:space="preserve"> emisijas no kūtsmēslu apsaimniekošanas sistēmām samazinājās par apmēram 5 % laika posmā 2005. – 2016. gads, tad emisijas no minerālmēslu un kūtsmēslu izmantošanas p</w:t>
      </w:r>
      <w:r w:rsidR="008913D1" w:rsidRPr="004826D1">
        <w:rPr>
          <w:rFonts w:cs="Times New Roman"/>
          <w:szCs w:val="24"/>
        </w:rPr>
        <w:t>alielinājās apmēram 1,5 reizes.</w:t>
      </w:r>
    </w:p>
    <w:p w14:paraId="292B5CAD" w14:textId="77777777" w:rsidR="008913D1" w:rsidRPr="004826D1" w:rsidRDefault="008913D1" w:rsidP="00AE5109">
      <w:pPr>
        <w:spacing w:before="120" w:after="120"/>
        <w:jc w:val="both"/>
      </w:pPr>
      <w:r w:rsidRPr="004826D1">
        <w:lastRenderedPageBreak/>
        <w:t>Prognozētās NH</w:t>
      </w:r>
      <w:r w:rsidRPr="004826D1">
        <w:rPr>
          <w:vertAlign w:val="subscript"/>
        </w:rPr>
        <w:t>3</w:t>
      </w:r>
      <w:r w:rsidRPr="004826D1">
        <w:t xml:space="preserve"> emisijas 2030. gadā ir par apmēram 2,1 % mazākas nekā noteiktais emisiju mērķis</w:t>
      </w:r>
      <w:r w:rsidR="00740F16" w:rsidRPr="004826D1">
        <w:t xml:space="preserve"> </w:t>
      </w:r>
      <w:r w:rsidR="009661E1">
        <w:t>(skat. 5.6</w:t>
      </w:r>
      <w:r w:rsidR="00692F49" w:rsidRPr="004826D1">
        <w:t>. att.)</w:t>
      </w:r>
      <w:r w:rsidRPr="004826D1">
        <w:t xml:space="preserve">. </w:t>
      </w:r>
    </w:p>
    <w:p w14:paraId="7F8F20A0" w14:textId="77777777" w:rsidR="008913D1" w:rsidRPr="004826D1" w:rsidRDefault="008913D1" w:rsidP="008913D1">
      <w:pPr>
        <w:rPr>
          <w:lang w:eastAsia="en-GB"/>
        </w:rPr>
      </w:pPr>
    </w:p>
    <w:p w14:paraId="30E39AC7" w14:textId="2DF5BEC9" w:rsidR="008913D1" w:rsidRPr="004826D1" w:rsidRDefault="000654E1" w:rsidP="008913D1">
      <w:pPr>
        <w:jc w:val="center"/>
        <w:rPr>
          <w:szCs w:val="24"/>
        </w:rPr>
      </w:pPr>
      <w:r>
        <w:rPr>
          <w:noProof/>
          <w:szCs w:val="24"/>
          <w:lang w:eastAsia="lv-LV"/>
        </w:rPr>
        <w:drawing>
          <wp:inline distT="0" distB="0" distL="0" distR="0" wp14:anchorId="2FEDA8D4" wp14:editId="34DD6EF0">
            <wp:extent cx="5734050" cy="3371850"/>
            <wp:effectExtent l="0" t="0" r="0" b="0"/>
            <wp:docPr id="4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4050" cy="3371850"/>
                    </a:xfrm>
                    <a:prstGeom prst="rect">
                      <a:avLst/>
                    </a:prstGeom>
                    <a:noFill/>
                    <a:ln>
                      <a:noFill/>
                    </a:ln>
                  </pic:spPr>
                </pic:pic>
              </a:graphicData>
            </a:graphic>
          </wp:inline>
        </w:drawing>
      </w:r>
    </w:p>
    <w:p w14:paraId="26B5997D" w14:textId="77777777" w:rsidR="008913D1" w:rsidRPr="004826D1" w:rsidRDefault="009661E1" w:rsidP="00692F49">
      <w:pPr>
        <w:pStyle w:val="Title"/>
        <w:jc w:val="left"/>
      </w:pPr>
      <w:r>
        <w:t>5.6</w:t>
      </w:r>
      <w:r w:rsidR="008913D1" w:rsidRPr="004826D1">
        <w:t>. attēls. Aprēķinātās NH</w:t>
      </w:r>
      <w:r w:rsidR="008913D1" w:rsidRPr="004826D1">
        <w:rPr>
          <w:vertAlign w:val="subscript"/>
        </w:rPr>
        <w:t>3</w:t>
      </w:r>
      <w:r w:rsidR="008913D1" w:rsidRPr="004826D1">
        <w:t xml:space="preserve"> emisiju prognozes scenārijā ar papildu pasākumiem</w:t>
      </w:r>
      <w:r w:rsidR="00C71FCA" w:rsidRPr="004826D1">
        <w:t xml:space="preserve"> </w:t>
      </w:r>
      <w:r w:rsidR="008913D1" w:rsidRPr="004826D1">
        <w:t>no 2020. līdz 2030. gadam</w:t>
      </w:r>
    </w:p>
    <w:p w14:paraId="1FCE180B" w14:textId="77777777" w:rsidR="008913D1" w:rsidRPr="004826D1" w:rsidRDefault="008913D1" w:rsidP="00CD2251">
      <w:pPr>
        <w:jc w:val="both"/>
        <w:rPr>
          <w:rFonts w:cs="Times New Roman"/>
          <w:szCs w:val="24"/>
        </w:rPr>
      </w:pPr>
    </w:p>
    <w:p w14:paraId="407D2A59" w14:textId="77777777" w:rsidR="00C42101" w:rsidRPr="004826D1" w:rsidRDefault="00C42101" w:rsidP="00CD2251">
      <w:pPr>
        <w:jc w:val="both"/>
        <w:rPr>
          <w:rFonts w:cs="Times New Roman"/>
          <w:szCs w:val="24"/>
        </w:rPr>
      </w:pPr>
    </w:p>
    <w:p w14:paraId="1CCE75B2" w14:textId="77777777" w:rsidR="00C42101" w:rsidRPr="004826D1" w:rsidRDefault="00C42101" w:rsidP="00CD2251">
      <w:pPr>
        <w:jc w:val="both"/>
        <w:rPr>
          <w:rFonts w:cs="Times New Roman"/>
          <w:szCs w:val="24"/>
        </w:rPr>
      </w:pPr>
    </w:p>
    <w:p w14:paraId="3785ED94" w14:textId="77777777" w:rsidR="004B07E2" w:rsidRPr="004826D1" w:rsidRDefault="004B07E2" w:rsidP="00592D63">
      <w:pPr>
        <w:jc w:val="both"/>
        <w:rPr>
          <w:rFonts w:cs="Times New Roman"/>
          <w:szCs w:val="24"/>
        </w:rPr>
      </w:pPr>
    </w:p>
    <w:p w14:paraId="27F81E49" w14:textId="77777777" w:rsidR="00877542" w:rsidRPr="004826D1" w:rsidRDefault="006E2629" w:rsidP="00AE5109">
      <w:pPr>
        <w:pStyle w:val="Heading2"/>
        <w:spacing w:before="120" w:after="120"/>
        <w:rPr>
          <w:rFonts w:ascii="Times New Roman" w:hAnsi="Times New Roman"/>
          <w:sz w:val="24"/>
          <w:szCs w:val="24"/>
          <w:lang w:val="lv-LV"/>
        </w:rPr>
      </w:pPr>
      <w:bookmarkStart w:id="225" w:name="_Toc10128862"/>
      <w:bookmarkStart w:id="226" w:name="_Toc169602287"/>
      <w:r w:rsidRPr="004826D1">
        <w:rPr>
          <w:rFonts w:ascii="Times New Roman" w:hAnsi="Times New Roman"/>
          <w:sz w:val="24"/>
          <w:szCs w:val="24"/>
          <w:lang w:val="lv-LV"/>
        </w:rPr>
        <w:t xml:space="preserve">5.6.5. </w:t>
      </w:r>
      <w:r w:rsidR="00877542" w:rsidRPr="004826D1">
        <w:rPr>
          <w:rFonts w:ascii="Times New Roman" w:hAnsi="Times New Roman"/>
          <w:sz w:val="24"/>
          <w:szCs w:val="24"/>
          <w:lang w:val="lv-LV"/>
        </w:rPr>
        <w:t>Daļiņu PM</w:t>
      </w:r>
      <w:r w:rsidR="00877542" w:rsidRPr="004826D1">
        <w:rPr>
          <w:rFonts w:ascii="Times New Roman" w:hAnsi="Times New Roman"/>
          <w:sz w:val="24"/>
          <w:szCs w:val="24"/>
          <w:vertAlign w:val="subscript"/>
          <w:lang w:val="lv-LV"/>
        </w:rPr>
        <w:t>2,5</w:t>
      </w:r>
      <w:r w:rsidR="00877542" w:rsidRPr="004826D1">
        <w:rPr>
          <w:rFonts w:ascii="Times New Roman" w:hAnsi="Times New Roman"/>
          <w:sz w:val="24"/>
          <w:szCs w:val="24"/>
          <w:lang w:val="lv-LV"/>
        </w:rPr>
        <w:t xml:space="preserve"> emisijas</w:t>
      </w:r>
      <w:bookmarkEnd w:id="225"/>
      <w:bookmarkEnd w:id="226"/>
    </w:p>
    <w:p w14:paraId="74AE8FFD" w14:textId="77777777" w:rsidR="00877542" w:rsidRPr="004826D1" w:rsidRDefault="00877542" w:rsidP="00AE5109">
      <w:pPr>
        <w:spacing w:before="120" w:after="120"/>
        <w:jc w:val="both"/>
      </w:pPr>
      <w:r w:rsidRPr="004826D1">
        <w:t>Kopējās daļiņu PM</w:t>
      </w:r>
      <w:r w:rsidRPr="004826D1">
        <w:rPr>
          <w:vertAlign w:val="subscript"/>
        </w:rPr>
        <w:t xml:space="preserve">2,5 </w:t>
      </w:r>
      <w:r w:rsidRPr="004826D1">
        <w:t>emisijas laika periodā 2005. – 2016. gads ir samazinājušās par apmēram 28 %. Emisijas samazinājās transporta sektorā (37 %), pakalpojumu sektorā un mājsaimniecībās (46 %), bet emisijas palielinājās enerģijas pārveidošanas sektorā (vairāk kā divas reizes) un no kurināmā izmantošanas enerģijas ražošanai rūpniecībā (apmēram divas reizes). Emisiju palielināšanās minētajos sektoros ir saistīta, galvenokārt, ar biomasas plašāku izmantošanu šajos abos sektoros.</w:t>
      </w:r>
    </w:p>
    <w:p w14:paraId="67D6C2F6" w14:textId="77777777" w:rsidR="00877542" w:rsidRPr="004826D1" w:rsidRDefault="00877542" w:rsidP="00AE5109">
      <w:pPr>
        <w:spacing w:before="120" w:after="120"/>
        <w:jc w:val="both"/>
      </w:pPr>
      <w:r w:rsidRPr="004826D1">
        <w:t>Galvenie daļiņu PM</w:t>
      </w:r>
      <w:r w:rsidRPr="004826D1">
        <w:rPr>
          <w:vertAlign w:val="subscript"/>
        </w:rPr>
        <w:t>2,5</w:t>
      </w:r>
      <w:r w:rsidRPr="004826D1">
        <w:t xml:space="preserve"> avoti Latvijā 2016. gadā bija pakalpojumu un mājsaimniecību sektors (59 %), kur emisijas rodas no biomasas sadedzināšanas apkurei. Nākamie nozīmīgākie emisiju veidojošie sektori bija biomasas sadedzināšana rūpniecības sektorā (13 %), enerģijas pārveidošanas sektors (13 %) un transports (5 %</w:t>
      </w:r>
      <w:r w:rsidR="008913D1" w:rsidRPr="004826D1">
        <w:t>) un rūpniecības procesi (5 %).</w:t>
      </w:r>
    </w:p>
    <w:p w14:paraId="3502407E" w14:textId="77777777" w:rsidR="008913D1" w:rsidRPr="004826D1" w:rsidRDefault="008913D1" w:rsidP="00AE5109">
      <w:pPr>
        <w:spacing w:before="120" w:after="120"/>
        <w:jc w:val="both"/>
      </w:pPr>
      <w:r w:rsidRPr="004826D1">
        <w:t>Prognozētās PM</w:t>
      </w:r>
      <w:r w:rsidRPr="004826D1">
        <w:rPr>
          <w:vertAlign w:val="subscript"/>
        </w:rPr>
        <w:t>2,5</w:t>
      </w:r>
      <w:r w:rsidRPr="004826D1">
        <w:t xml:space="preserve"> emisijas 2030. gadā ir par apmēram 22 % mazākas nekā noteiktais emisiju mērķis</w:t>
      </w:r>
      <w:r w:rsidR="00740F16" w:rsidRPr="004826D1">
        <w:t xml:space="preserve"> </w:t>
      </w:r>
      <w:r w:rsidR="009661E1">
        <w:t>(skat. 5.7</w:t>
      </w:r>
      <w:r w:rsidR="00E0354F" w:rsidRPr="004826D1">
        <w:t>. att.)</w:t>
      </w:r>
      <w:r w:rsidRPr="004826D1">
        <w:t xml:space="preserve">. </w:t>
      </w:r>
    </w:p>
    <w:p w14:paraId="3270F58B" w14:textId="77777777" w:rsidR="008913D1" w:rsidRPr="004826D1" w:rsidRDefault="008913D1" w:rsidP="008913D1">
      <w:pPr>
        <w:jc w:val="both"/>
        <w:rPr>
          <w:u w:val="single"/>
        </w:rPr>
      </w:pPr>
    </w:p>
    <w:p w14:paraId="3288B22F" w14:textId="38CF7512" w:rsidR="008913D1" w:rsidRPr="004826D1" w:rsidRDefault="000654E1" w:rsidP="008913D1">
      <w:pPr>
        <w:keepNext/>
        <w:jc w:val="center"/>
      </w:pPr>
      <w:r>
        <w:rPr>
          <w:noProof/>
          <w:lang w:eastAsia="lv-LV"/>
        </w:rPr>
        <w:lastRenderedPageBreak/>
        <w:drawing>
          <wp:inline distT="0" distB="0" distL="0" distR="0" wp14:anchorId="4B729F70" wp14:editId="6113346F">
            <wp:extent cx="5695950" cy="3381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95950" cy="3381375"/>
                    </a:xfrm>
                    <a:prstGeom prst="rect">
                      <a:avLst/>
                    </a:prstGeom>
                    <a:noFill/>
                    <a:ln>
                      <a:noFill/>
                    </a:ln>
                  </pic:spPr>
                </pic:pic>
              </a:graphicData>
            </a:graphic>
          </wp:inline>
        </w:drawing>
      </w:r>
    </w:p>
    <w:p w14:paraId="41288300" w14:textId="77777777" w:rsidR="008913D1" w:rsidRPr="004826D1" w:rsidRDefault="009661E1" w:rsidP="00E0354F">
      <w:pPr>
        <w:pStyle w:val="Title"/>
        <w:jc w:val="left"/>
      </w:pPr>
      <w:r>
        <w:t>5.7</w:t>
      </w:r>
      <w:r w:rsidR="00E0354F" w:rsidRPr="004826D1">
        <w:t xml:space="preserve">. </w:t>
      </w:r>
      <w:r w:rsidR="008913D1" w:rsidRPr="004826D1">
        <w:t>attēls. Aprēķinātās PM</w:t>
      </w:r>
      <w:r w:rsidR="008913D1" w:rsidRPr="004826D1">
        <w:rPr>
          <w:vertAlign w:val="subscript"/>
        </w:rPr>
        <w:t xml:space="preserve">2,5 </w:t>
      </w:r>
      <w:r w:rsidR="008913D1" w:rsidRPr="004826D1">
        <w:t>emisiju prognozes scenārijā ar papildu pasākumiem no 2020. līdz 2030. gadam</w:t>
      </w:r>
    </w:p>
    <w:p w14:paraId="4A366D3E" w14:textId="77777777" w:rsidR="008913D1" w:rsidRPr="004826D1" w:rsidRDefault="008913D1" w:rsidP="00877542">
      <w:pPr>
        <w:jc w:val="both"/>
      </w:pPr>
    </w:p>
    <w:p w14:paraId="2509BFFD" w14:textId="77777777" w:rsidR="005E3681" w:rsidRPr="004826D1" w:rsidRDefault="005E3681" w:rsidP="00AE5109">
      <w:pPr>
        <w:spacing w:before="120" w:after="120"/>
        <w:jc w:val="both"/>
      </w:pPr>
    </w:p>
    <w:p w14:paraId="021705EF" w14:textId="77777777" w:rsidR="000A6A12" w:rsidRPr="004826D1" w:rsidRDefault="006E2629" w:rsidP="00AE5109">
      <w:pPr>
        <w:pStyle w:val="Heading2"/>
        <w:spacing w:before="120" w:after="120"/>
        <w:rPr>
          <w:rFonts w:ascii="Times New Roman" w:hAnsi="Times New Roman"/>
          <w:sz w:val="24"/>
          <w:szCs w:val="24"/>
          <w:lang w:val="lv-LV"/>
        </w:rPr>
      </w:pPr>
      <w:bookmarkStart w:id="227" w:name="_Toc533011257"/>
      <w:bookmarkStart w:id="228" w:name="_Toc10128863"/>
      <w:bookmarkStart w:id="229" w:name="_Toc169602288"/>
      <w:r w:rsidRPr="004826D1">
        <w:rPr>
          <w:rFonts w:ascii="Times New Roman" w:hAnsi="Times New Roman"/>
          <w:sz w:val="24"/>
          <w:szCs w:val="24"/>
          <w:lang w:val="lv-LV"/>
        </w:rPr>
        <w:t xml:space="preserve">5.6.6. </w:t>
      </w:r>
      <w:r w:rsidR="000A6A12" w:rsidRPr="004826D1">
        <w:rPr>
          <w:rFonts w:ascii="Times New Roman" w:hAnsi="Times New Roman"/>
          <w:sz w:val="24"/>
          <w:szCs w:val="24"/>
          <w:lang w:val="lv-LV"/>
        </w:rPr>
        <w:t>Kvēpu – melnās ogles daļiņas (BC)</w:t>
      </w:r>
      <w:bookmarkEnd w:id="227"/>
      <w:bookmarkEnd w:id="228"/>
      <w:bookmarkEnd w:id="229"/>
    </w:p>
    <w:p w14:paraId="484B5E11" w14:textId="77777777" w:rsidR="000A6A12" w:rsidRPr="004826D1" w:rsidRDefault="000A6A12" w:rsidP="00AE5109">
      <w:pPr>
        <w:spacing w:before="120" w:after="120"/>
        <w:jc w:val="both"/>
        <w:rPr>
          <w:szCs w:val="24"/>
        </w:rPr>
      </w:pPr>
      <w:r w:rsidRPr="004826D1">
        <w:rPr>
          <w:szCs w:val="24"/>
          <w:lang w:eastAsia="de-DE"/>
        </w:rPr>
        <w:t xml:space="preserve">Kvēpu daļiņas ir tiešā veidā atkarīgas no </w:t>
      </w:r>
      <w:r w:rsidRPr="004826D1">
        <w:rPr>
          <w:szCs w:val="24"/>
        </w:rPr>
        <w:t>PM</w:t>
      </w:r>
      <w:r w:rsidRPr="004826D1">
        <w:rPr>
          <w:szCs w:val="24"/>
          <w:vertAlign w:val="subscript"/>
        </w:rPr>
        <w:t xml:space="preserve">2,5 </w:t>
      </w:r>
      <w:r w:rsidRPr="004826D1">
        <w:rPr>
          <w:szCs w:val="24"/>
        </w:rPr>
        <w:t>emisiju daudzuma. Līdz ar to aprēķinātās prognozes satur tādas pašas galvenās attīstības tendences. Prognozētās emisijas 2030. gadā ir mazākas par 19,2 %, salīdzinot ar 2016. gadu un par 41 % mazākas nekā 2005. gadā. Galvenie emisiju avoti ir pakalpojumu un mājsaimniecību sektors (52,9 %), kurināmā sadedzināšana rūpniecības sektorā (31,5 %) un transports (9,5 %).</w:t>
      </w:r>
    </w:p>
    <w:p w14:paraId="0E648D85" w14:textId="77777777" w:rsidR="00655494" w:rsidRPr="004826D1" w:rsidRDefault="00655494" w:rsidP="00AE5109">
      <w:pPr>
        <w:spacing w:before="120" w:after="120"/>
        <w:jc w:val="both"/>
        <w:rPr>
          <w:szCs w:val="24"/>
        </w:rPr>
      </w:pPr>
    </w:p>
    <w:p w14:paraId="4295DB8B" w14:textId="77777777" w:rsidR="008913D1" w:rsidRPr="004826D1" w:rsidRDefault="00255715" w:rsidP="009661E1">
      <w:pPr>
        <w:spacing w:before="120" w:after="120"/>
        <w:jc w:val="both"/>
      </w:pPr>
      <w:r w:rsidRPr="004826D1">
        <w:t>Pirms Plāna a</w:t>
      </w:r>
      <w:r w:rsidR="00655494" w:rsidRPr="004826D1">
        <w:t>prēķinātās</w:t>
      </w:r>
      <w:r w:rsidRPr="004826D1">
        <w:rPr>
          <w:rStyle w:val="FootnoteReference"/>
        </w:rPr>
        <w:footnoteReference w:id="56"/>
      </w:r>
      <w:r w:rsidR="00655494" w:rsidRPr="004826D1">
        <w:t xml:space="preserve"> kopējās </w:t>
      </w:r>
      <w:r w:rsidRPr="004826D1">
        <w:t xml:space="preserve">piesārņojošo vielu </w:t>
      </w:r>
      <w:r w:rsidR="00655494" w:rsidRPr="004826D1">
        <w:t>emisiju prognozes</w:t>
      </w:r>
      <w:r w:rsidRPr="004826D1">
        <w:t xml:space="preserve"> </w:t>
      </w:r>
      <w:r w:rsidR="00655494" w:rsidRPr="004826D1">
        <w:t>2030. gadam parāda samazinājumu pret 2016. gadu</w:t>
      </w:r>
      <w:r w:rsidRPr="004826D1">
        <w:t>, pieņemot, ka g</w:t>
      </w:r>
      <w:r w:rsidR="00655494" w:rsidRPr="004826D1">
        <w:t>alvenie emisiju avoti 2030. gadā ir transporta sektors (36,5</w:t>
      </w:r>
      <w:r w:rsidR="00953520" w:rsidRPr="004826D1">
        <w:t> </w:t>
      </w:r>
      <w:r w:rsidR="00655494" w:rsidRPr="004826D1">
        <w:t>%), kurināmā sadedzināšana rūpniecības sektorā (10,6</w:t>
      </w:r>
      <w:r w:rsidR="00953520" w:rsidRPr="004826D1">
        <w:t> </w:t>
      </w:r>
      <w:r w:rsidR="00655494" w:rsidRPr="004826D1">
        <w:t>%), enerģijas pārveidošanas sektors (13,9 %), pakalpojumu sektors un mājsaimniecības (18,9</w:t>
      </w:r>
      <w:r w:rsidR="00953520" w:rsidRPr="004826D1">
        <w:t> </w:t>
      </w:r>
      <w:r w:rsidR="00655494" w:rsidRPr="004826D1">
        <w:t>%) un lauksaimniecība (13,8</w:t>
      </w:r>
      <w:r w:rsidR="00953520" w:rsidRPr="004826D1">
        <w:t> </w:t>
      </w:r>
      <w:r w:rsidR="00655494" w:rsidRPr="004826D1">
        <w:t xml:space="preserve">%). </w:t>
      </w:r>
    </w:p>
    <w:p w14:paraId="0A142E21" w14:textId="77777777" w:rsidR="008913D1" w:rsidRPr="004826D1" w:rsidRDefault="008913D1" w:rsidP="008913D1">
      <w:pPr>
        <w:pStyle w:val="Heading2"/>
        <w:rPr>
          <w:rFonts w:ascii="Times New Roman" w:hAnsi="Times New Roman"/>
          <w:sz w:val="24"/>
          <w:szCs w:val="24"/>
          <w:lang w:val="lv-LV"/>
        </w:rPr>
      </w:pPr>
    </w:p>
    <w:p w14:paraId="433A582B" w14:textId="77777777" w:rsidR="008913D1" w:rsidRPr="004826D1" w:rsidRDefault="008913D1" w:rsidP="008913D1">
      <w:pPr>
        <w:pStyle w:val="Heading2"/>
        <w:rPr>
          <w:rFonts w:ascii="Times New Roman" w:hAnsi="Times New Roman"/>
          <w:sz w:val="24"/>
          <w:szCs w:val="24"/>
          <w:lang w:val="lv-LV"/>
        </w:rPr>
      </w:pPr>
      <w:bookmarkStart w:id="230" w:name="_Toc169602289"/>
      <w:r w:rsidRPr="004826D1">
        <w:rPr>
          <w:rFonts w:ascii="Times New Roman" w:hAnsi="Times New Roman"/>
          <w:sz w:val="24"/>
          <w:szCs w:val="24"/>
          <w:lang w:val="lv-LV"/>
        </w:rPr>
        <w:t>5.6.7.Emisiju apkopojums</w:t>
      </w:r>
      <w:bookmarkEnd w:id="230"/>
    </w:p>
    <w:p w14:paraId="30553B98" w14:textId="77777777" w:rsidR="008913D1" w:rsidRPr="004826D1" w:rsidRDefault="008913D1" w:rsidP="008913D1">
      <w:pPr>
        <w:pStyle w:val="StyleStyleJustifiedBefore6ptAfter6ptTimesNewRoman"/>
        <w:rPr>
          <w:lang w:val="lv-LV"/>
        </w:rPr>
      </w:pPr>
      <w:r w:rsidRPr="004826D1">
        <w:rPr>
          <w:lang w:val="lv-LV"/>
        </w:rPr>
        <w:t>Šajā 5.6. nodaļā aplūkotā rezultātā piesārņojošo vielu emisiju prognozes uz 2030. gadu ir mazākas, nekā noteiktie emisiju mērķi uz 2030. gadu, šādos apmēros:</w:t>
      </w:r>
    </w:p>
    <w:p w14:paraId="50DC051E" w14:textId="77777777" w:rsidR="008913D1" w:rsidRPr="004826D1" w:rsidRDefault="008913D1" w:rsidP="00B71063">
      <w:pPr>
        <w:pStyle w:val="StyleStyleJustifiedBefore6ptAfter6ptTimesNewRoman"/>
        <w:numPr>
          <w:ilvl w:val="0"/>
          <w:numId w:val="18"/>
        </w:numPr>
        <w:rPr>
          <w:lang w:val="lv-LV"/>
        </w:rPr>
      </w:pPr>
      <w:r w:rsidRPr="004826D1">
        <w:rPr>
          <w:lang w:val="lv-LV"/>
        </w:rPr>
        <w:t>NOx – par 2 %;</w:t>
      </w:r>
    </w:p>
    <w:p w14:paraId="23BD3401" w14:textId="77777777" w:rsidR="008913D1" w:rsidRPr="004826D1" w:rsidRDefault="008913D1" w:rsidP="00B71063">
      <w:pPr>
        <w:pStyle w:val="StyleStyleJustifiedBefore6ptAfter6ptTimesNewRoman"/>
        <w:numPr>
          <w:ilvl w:val="0"/>
          <w:numId w:val="18"/>
        </w:numPr>
        <w:rPr>
          <w:lang w:val="lv-LV"/>
        </w:rPr>
      </w:pPr>
      <w:r w:rsidRPr="004826D1">
        <w:rPr>
          <w:lang w:val="lv-LV"/>
        </w:rPr>
        <w:t>SO</w:t>
      </w:r>
      <w:r w:rsidRPr="004826D1">
        <w:rPr>
          <w:vertAlign w:val="subscript"/>
          <w:lang w:val="lv-LV"/>
        </w:rPr>
        <w:t>2</w:t>
      </w:r>
      <w:r w:rsidRPr="004826D1">
        <w:rPr>
          <w:lang w:val="lv-LV"/>
        </w:rPr>
        <w:t xml:space="preserve"> – par 7,8 %;</w:t>
      </w:r>
    </w:p>
    <w:p w14:paraId="2C80D79E" w14:textId="77777777" w:rsidR="008913D1" w:rsidRPr="004826D1" w:rsidRDefault="008913D1" w:rsidP="00B71063">
      <w:pPr>
        <w:pStyle w:val="StyleStyleJustifiedBefore6ptAfter6ptTimesNewRoman"/>
        <w:numPr>
          <w:ilvl w:val="0"/>
          <w:numId w:val="18"/>
        </w:numPr>
        <w:rPr>
          <w:lang w:val="lv-LV"/>
        </w:rPr>
      </w:pPr>
      <w:r w:rsidRPr="004826D1">
        <w:rPr>
          <w:lang w:val="lv-LV"/>
        </w:rPr>
        <w:t>NMGOS – par 6,9 %;</w:t>
      </w:r>
    </w:p>
    <w:p w14:paraId="65DC864A" w14:textId="77777777" w:rsidR="008913D1" w:rsidRPr="004826D1" w:rsidRDefault="008913D1" w:rsidP="00B71063">
      <w:pPr>
        <w:pStyle w:val="StyleStyleJustifiedBefore6ptAfter6ptTimesNewRoman"/>
        <w:numPr>
          <w:ilvl w:val="0"/>
          <w:numId w:val="18"/>
        </w:numPr>
        <w:rPr>
          <w:lang w:val="lv-LV"/>
        </w:rPr>
      </w:pPr>
      <w:r w:rsidRPr="004826D1">
        <w:rPr>
          <w:lang w:val="lv-LV"/>
        </w:rPr>
        <w:t>NH</w:t>
      </w:r>
      <w:r w:rsidRPr="004826D1">
        <w:rPr>
          <w:vertAlign w:val="subscript"/>
          <w:lang w:val="lv-LV"/>
        </w:rPr>
        <w:t>3</w:t>
      </w:r>
      <w:r w:rsidRPr="004826D1">
        <w:rPr>
          <w:lang w:val="lv-LV"/>
        </w:rPr>
        <w:t xml:space="preserve"> – par 2,1 %; </w:t>
      </w:r>
    </w:p>
    <w:p w14:paraId="5818A012" w14:textId="77777777" w:rsidR="00655494" w:rsidRPr="009661E1" w:rsidRDefault="008913D1" w:rsidP="00655494">
      <w:pPr>
        <w:pStyle w:val="StyleStyleJustifiedBefore6ptAfter6ptTimesNewRoman"/>
        <w:numPr>
          <w:ilvl w:val="0"/>
          <w:numId w:val="18"/>
        </w:numPr>
        <w:rPr>
          <w:szCs w:val="24"/>
        </w:rPr>
      </w:pPr>
      <w:r w:rsidRPr="004826D1">
        <w:rPr>
          <w:lang w:val="lv-LV"/>
        </w:rPr>
        <w:t>PM</w:t>
      </w:r>
      <w:r w:rsidRPr="009661E1">
        <w:rPr>
          <w:vertAlign w:val="subscript"/>
          <w:lang w:val="lv-LV"/>
        </w:rPr>
        <w:t>2,5</w:t>
      </w:r>
      <w:r w:rsidRPr="004826D1">
        <w:rPr>
          <w:lang w:val="lv-LV"/>
        </w:rPr>
        <w:t xml:space="preserve"> – par 22 %.</w:t>
      </w:r>
    </w:p>
    <w:p w14:paraId="43C1AE8D" w14:textId="77777777" w:rsidR="00EC5ADD" w:rsidRPr="004826D1" w:rsidRDefault="008913D1" w:rsidP="008913D1">
      <w:pPr>
        <w:pStyle w:val="Heading2"/>
        <w:jc w:val="both"/>
        <w:rPr>
          <w:rFonts w:ascii="Times New Roman" w:hAnsi="Times New Roman"/>
          <w:lang w:val="lv-LV"/>
        </w:rPr>
      </w:pPr>
      <w:bookmarkStart w:id="231" w:name="_Toc10128866"/>
      <w:r w:rsidRPr="004826D1">
        <w:rPr>
          <w:rFonts w:ascii="Times New Roman" w:hAnsi="Times New Roman"/>
          <w:sz w:val="24"/>
          <w:szCs w:val="24"/>
          <w:lang w:val="lv-LV"/>
        </w:rPr>
        <w:br w:type="page"/>
      </w:r>
      <w:bookmarkStart w:id="232" w:name="_Toc169602290"/>
      <w:bookmarkEnd w:id="231"/>
      <w:r w:rsidR="00EC5ADD" w:rsidRPr="004826D1">
        <w:rPr>
          <w:rFonts w:ascii="Times New Roman" w:hAnsi="Times New Roman"/>
          <w:lang w:val="lv-LV"/>
        </w:rPr>
        <w:lastRenderedPageBreak/>
        <w:t>5.</w:t>
      </w:r>
      <w:r w:rsidR="00E851B9" w:rsidRPr="004826D1">
        <w:rPr>
          <w:rFonts w:ascii="Times New Roman" w:hAnsi="Times New Roman"/>
          <w:lang w:val="lv-LV"/>
        </w:rPr>
        <w:t>7</w:t>
      </w:r>
      <w:r w:rsidR="00EC5ADD" w:rsidRPr="004826D1">
        <w:rPr>
          <w:rFonts w:ascii="Times New Roman" w:hAnsi="Times New Roman"/>
          <w:lang w:val="lv-LV"/>
        </w:rPr>
        <w:t xml:space="preserve"> Klimata pārmaiņas</w:t>
      </w:r>
      <w:bookmarkEnd w:id="232"/>
      <w:r w:rsidR="00E3794A" w:rsidRPr="004826D1">
        <w:rPr>
          <w:rFonts w:ascii="Times New Roman" w:hAnsi="Times New Roman"/>
          <w:lang w:val="lv-LV"/>
        </w:rPr>
        <w:t xml:space="preserve"> </w:t>
      </w:r>
    </w:p>
    <w:p w14:paraId="78523328" w14:textId="77777777" w:rsidR="00196F14" w:rsidRPr="004826D1" w:rsidRDefault="00196F14" w:rsidP="00EC5ADD">
      <w:pPr>
        <w:spacing w:after="120"/>
        <w:jc w:val="both"/>
        <w:rPr>
          <w:rFonts w:cs="Times New Roman"/>
          <w:szCs w:val="24"/>
          <w:lang w:eastAsia="en-GB"/>
        </w:rPr>
      </w:pPr>
    </w:p>
    <w:p w14:paraId="048180DE"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Latvijas atrodas hemiboreālajā zonā, gada vidējā gaisa temperatūra normas periodā (1991.-2020. gads) ir +6,8°C, kas pazeminās vidēji līdz -3,1 °C janvārī un paaugstinās vidēji līdz +17,8°C jūlijā. Salīdzinot laika perioda no 1961. līdz 1990. gadam vidējās gaisa temperatūras vērtības pret 1981.-2010. gada vidējās gaisa temperatūras vērtībām, redzams vidējās gaisa temperatūras pieaugums par 0,7°C. 50 gadu laikā (1961.-2010. gads) izmaiņas gada ritumā nav vienmērīgas: vislielākā vidējās gaisa temperatūras paaugstināšanās novērota pavasara mēnešos (marts, aprīlis), vasarā (jūlijs, augusts) un ziemā (janvāris). Neliels vidējās gaisa temperatūras kritums konstatēts jūnijā un oktobrī. Vienīgā sezona, kuru ilggadīgajā periodā Latvijā nav skārušas būtiskas gaisa temperatūras izmaiņas, ir rudens – ne sezonas, ne arī tās mēnešu vidējo gaisa temperatūru vērtības laika periodā no 1961. līdz 2010. gadam nav būtiski </w:t>
      </w:r>
    </w:p>
    <w:p w14:paraId="77397786"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Tiek uzskatīts, ka kopš 20. gs. klimata pārmaiņas galvenokārt notiek siltumnīcefekta gāzu (SEG) koncentrācijas pieauguma dēļ, kas rodas gan dabisku procesu, gan cilvēka darbības rezultātā. Galvenie cilvēka radītie SEG avoti iekļauj (</w:t>
      </w:r>
      <w:hyperlink r:id="rId59" w:history="1">
        <w:r w:rsidRPr="00C241F3">
          <w:rPr>
            <w:rStyle w:val="Hyperlink"/>
            <w:szCs w:val="24"/>
            <w:lang w:eastAsia="en-GB"/>
          </w:rPr>
          <w:t>http://www.eea.europa.eu/lv/themes/climate/intro</w:t>
        </w:r>
      </w:hyperlink>
      <w:r w:rsidRPr="00C241F3">
        <w:rPr>
          <w:rFonts w:cs="Times New Roman"/>
          <w:szCs w:val="24"/>
          <w:lang w:eastAsia="en-GB"/>
        </w:rPr>
        <w:t>):</w:t>
      </w:r>
    </w:p>
    <w:p w14:paraId="72AB3654"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fosilo kurināmo (akmeņogļu, naftas un gāzes) izmantošana elektroenerģijas ražošanai, transportam, rūpniecībai un mājsaimniecībām (CO</w:t>
      </w:r>
      <w:r w:rsidRPr="00C241F3">
        <w:rPr>
          <w:rFonts w:cs="Times New Roman"/>
          <w:szCs w:val="24"/>
          <w:vertAlign w:val="subscript"/>
          <w:lang w:eastAsia="en-GB"/>
        </w:rPr>
        <w:t>2</w:t>
      </w:r>
      <w:r w:rsidRPr="00C241F3">
        <w:rPr>
          <w:rFonts w:cs="Times New Roman"/>
          <w:szCs w:val="24"/>
          <w:lang w:eastAsia="en-GB"/>
        </w:rPr>
        <w:t>);</w:t>
      </w:r>
    </w:p>
    <w:p w14:paraId="2D502F06"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lauksaimniecība (CH</w:t>
      </w:r>
      <w:r w:rsidRPr="00C241F3">
        <w:rPr>
          <w:rFonts w:cs="Times New Roman"/>
          <w:szCs w:val="24"/>
          <w:vertAlign w:val="subscript"/>
          <w:lang w:eastAsia="en-GB"/>
        </w:rPr>
        <w:t>4</w:t>
      </w:r>
      <w:r w:rsidRPr="00C241F3">
        <w:rPr>
          <w:rFonts w:cs="Times New Roman"/>
          <w:szCs w:val="24"/>
          <w:lang w:eastAsia="en-GB"/>
        </w:rPr>
        <w:t>) un zemes izmantošanas pārmaiņas, piemēram, atmežošana (CO</w:t>
      </w:r>
      <w:r w:rsidRPr="00C241F3">
        <w:rPr>
          <w:rFonts w:cs="Times New Roman"/>
          <w:szCs w:val="24"/>
          <w:vertAlign w:val="subscript"/>
          <w:lang w:eastAsia="en-GB"/>
        </w:rPr>
        <w:t>2</w:t>
      </w:r>
      <w:r w:rsidRPr="00C241F3">
        <w:rPr>
          <w:rFonts w:cs="Times New Roman"/>
          <w:szCs w:val="24"/>
          <w:lang w:eastAsia="en-GB"/>
        </w:rPr>
        <w:t>);</w:t>
      </w:r>
    </w:p>
    <w:p w14:paraId="7828D26B"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atkritumu izgāztuves (CH</w:t>
      </w:r>
      <w:r w:rsidRPr="00C241F3">
        <w:rPr>
          <w:rFonts w:cs="Times New Roman"/>
          <w:szCs w:val="24"/>
          <w:vertAlign w:val="subscript"/>
          <w:lang w:eastAsia="en-GB"/>
        </w:rPr>
        <w:t>4</w:t>
      </w:r>
      <w:r w:rsidRPr="00C241F3">
        <w:rPr>
          <w:rFonts w:cs="Times New Roman"/>
          <w:szCs w:val="24"/>
          <w:lang w:eastAsia="en-GB"/>
        </w:rPr>
        <w:t>);</w:t>
      </w:r>
    </w:p>
    <w:p w14:paraId="511D3986"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rūpniecisko fluorēto gāzu izmantošana.</w:t>
      </w:r>
    </w:p>
    <w:p w14:paraId="69349DD2"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Latvijā pēdējo 50 gadu laikā (laika periodā no 1961. gada līdz 2010. gadam), līdzīgi kā citviet pasaulē. Latvijā novērota vienmērīga gaisa temperatūras paaugstināšanās - gan gaisa temperatūras vidējās, gan arī maksimālajās un minimālajās vērtībās. Vidējās gaisa temperatūras vērtības ir paaugstinājušās par 0,7°C (1981.-2010. g. attiecībā pret 1961.-1990. g), savukārt gada minimālā gaisa temperatūra pieaugusi par 1,9°C, bet gada maksimālā gaisa temperatūra vidēji Latvijā paaugstinājusies par 0,7°C. Saskaņā ar LVĢMC datiem Latvijā 2020. gads ar vidējo gaisa temperatūru +8,8°C kļuva par siltāko gadu novērojumu vēsturē (kopš 1924. gada), par 0,6°C pārspējot 2019. gada rekordu. Analizējot izmaiņas gaisa temperatūras vērtībās nākotnē, redzams, ka Latvijā gada vidējā gaisa temperatūra turpinās paaugstināties (Latvijas pielāgošanās klimata pārmaiņām plāns laika posmam līdz 2030. gadam).</w:t>
      </w:r>
    </w:p>
    <w:p w14:paraId="229780D2"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Mūsdienās nepārtraukti tiek pārspēti līdzšinējie rekordi gan vidējās un maksimālās temperatūras, gan nokrišņu, vētru skaita un stipruma un citu parametru ziņā. Latvijas teritorijā ir novērojama arī kopējās atmosfēras nokrišņu summas palielināšanās. Latvijā, tāpat kā citviet pasaulē, pagājušā gadsimta otrajā pusē un šī gadsimta sākumā novērotas būtiskas ekstremālo klimatisko parādību izmaiņas - biežākas kļuvušas ekstremāli karstas dienas un naktis, kā arī dienas ar stipriem nokrišņiem, savukārt ekstremāli aukstas dienas tiek novērotas arvien retāk. Konstatēts arī karstuma viļņu (ilgstošs, nepārtraukts karstuma periods) atkārtošanās gadījumu skaita pieaugums, kas rada specifiskas problēmas īpaši pilsētu teritorijās. Saskaņā ar IPCC prognozēm nākotnē gaidāma ekstremālo laikapstākļu (tai skaitā nokrišņu un vēja ātruma) atkārtošanās biežuma un kontrastainības palielināšanās. Kontrastainību Latvijā ilustrē, piemēram, 2017.gads, kad bija vērojamas stipras lietusgāzes vai 2018. gads, kas bija sausākais gads novērojumu vēsturē. Dienu skaits ar stipriem un ļoti stipriem nokrišņiem kopš 1961. gada ir pieaudzis par attiecīgi vidēji divām un vienu dienu. Tiek prognozēts, ka </w:t>
      </w:r>
      <w:r w:rsidRPr="00C241F3">
        <w:rPr>
          <w:rFonts w:cs="Times New Roman"/>
          <w:szCs w:val="24"/>
          <w:lang w:eastAsia="en-GB"/>
        </w:rPr>
        <w:lastRenderedPageBreak/>
        <w:t>nokrišņu daudzums, kā arī dienu skaits ar stipriem un ļoti stipriem nokrišņiem pieaugs arī turpmāk.2 3. Ekstremālas parādības neatkārtojas katru gadu, dažkārt pat norisinās tikai reizi desmitgadē vai vēl retāk, un šis apstāklis pat pastiprina to bīstamību, jo dabas katastrofas var piemeklēt iedzīvotājus nesagatavotus. Latvijā identificētie nozīmīgākie riski saistībā ar klimata pārmaiņām ir:</w:t>
      </w:r>
    </w:p>
    <w:p w14:paraId="2935B19C"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sezonu, t.sk. veģetācijas perioda izmaiņas;</w:t>
      </w:r>
    </w:p>
    <w:p w14:paraId="0BEB85CB"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ugunsgrēki;</w:t>
      </w:r>
    </w:p>
    <w:p w14:paraId="6578613C"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kaitēkļu un patogēnu savairošanās, koku slimības, vietējo sugu izstumšana, jaunu sugu ienākšana;</w:t>
      </w:r>
    </w:p>
    <w:p w14:paraId="5637263E"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elpošanas sistēmu slimību izplatība;</w:t>
      </w:r>
    </w:p>
    <w:p w14:paraId="1CC3047F"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infekcijas slimības, karstuma dūrieni;</w:t>
      </w:r>
    </w:p>
    <w:p w14:paraId="00904C2A"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nokrišņu izraisīti plūdi, vējuzplūdi;</w:t>
      </w:r>
    </w:p>
    <w:p w14:paraId="3AC69A6F"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elektropadeves traucējumi;</w:t>
      </w:r>
    </w:p>
    <w:p w14:paraId="701F707C"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noteces palielināšanās, hidroenerģijas svārstības;</w:t>
      </w:r>
    </w:p>
    <w:p w14:paraId="012B3A64"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sasaluma mazināšanās, kailsals, izkalšana;</w:t>
      </w:r>
    </w:p>
    <w:p w14:paraId="726BACD2"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eitrofikācija;</w:t>
      </w:r>
    </w:p>
    <w:p w14:paraId="27D1F1B9"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infrastruktūru bojājumi, aprīkojuma pārkaršana;</w:t>
      </w:r>
    </w:p>
    <w:p w14:paraId="3C3307C5"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ūdens noteces samazināšanās vasaras sezonā.</w:t>
      </w:r>
    </w:p>
    <w:p w14:paraId="0CBDE7F0"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Klimata pārmaiņu radītās meteoroloģisko un hidroloģisko apstākļu izmaiņas (siltas ziemas, palielināts nokrišņu daudzums, ekstremāli sausuma periodi) veicina slāpekļa un fosfora savienojumu izskalošanos lauksaimniecības ietekmētajās teritorijās, ko apliecina ilggadīgie lauksaimniecības noteču monitoringa programmas (1995.-2021.) rezultāti, bet precīza detalizēta novērtējums par klimata pārmaiņu ietekmi uz paaugstinātu slāpekļa un fosfora izskalošanos lauksaimniecības zemēs nav.</w:t>
      </w:r>
    </w:p>
    <w:p w14:paraId="6C778DB8"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Klimata pārmaiņu ietekmes jau tagad rada lielus finansiālus izdevumus, ietekmējot kultūru ražību atkarībā no sausuma/mitruma periodiem, ievērojami palielinot neražas riskus.</w:t>
      </w:r>
    </w:p>
    <w:p w14:paraId="4184BA23"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Katru gadu Latvijā dažādu abiotisku un biotisku faktoru dēļ daļa mežaudžu pilnīgi vai daļēji zaudē augtspēju, kā rezultātā tās iet bojā. Atšķirībā no iepriekšējiem gadiem, kad dominēja vējgāžu bojājumi, 2018. gadā platības ziņā būtiskākais mežaudžu bojājumu cēlonis bija pārmērīgs mitrums, kas sastādīja 45% (577,7 ha) visu bojājumu.</w:t>
      </w:r>
    </w:p>
    <w:p w14:paraId="1BE5B8F1"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Saskaņā ar nacionālā meža kaitēkļu monitoringa rezultātiem bīstamākā meža kaitēkļa – egļu astoņzobu mizgrauža </w:t>
      </w:r>
      <w:r w:rsidRPr="00C241F3">
        <w:rPr>
          <w:rFonts w:cs="Times New Roman"/>
          <w:i/>
          <w:szCs w:val="24"/>
          <w:lang w:eastAsia="en-GB"/>
        </w:rPr>
        <w:t>(Ips typographus)</w:t>
      </w:r>
      <w:r w:rsidRPr="00C241F3">
        <w:rPr>
          <w:rFonts w:cs="Times New Roman"/>
          <w:szCs w:val="24"/>
          <w:lang w:eastAsia="en-GB"/>
        </w:rPr>
        <w:t xml:space="preserve"> – populācija, salīdzinot ar 2017. gadu, ir nedaudz pieaugusi. Kopš 2012. gada aktuāla ir priežu audžu tīkllapsenes </w:t>
      </w:r>
      <w:r w:rsidRPr="00C241F3">
        <w:rPr>
          <w:rFonts w:cs="Times New Roman"/>
          <w:i/>
          <w:szCs w:val="24"/>
          <w:lang w:eastAsia="en-GB"/>
        </w:rPr>
        <w:t>(Acantholyda posticalis)</w:t>
      </w:r>
      <w:r w:rsidRPr="00C241F3">
        <w:rPr>
          <w:rFonts w:cs="Times New Roman"/>
          <w:szCs w:val="24"/>
          <w:lang w:eastAsia="en-GB"/>
        </w:rPr>
        <w:t xml:space="preserve"> savairošanās Daugavpils apkaimē. Šī kaitēkļa bīstamība saistīta ar tā savairošanās ilglaicību: tā var ilgt vairāk nekā 10 gadu. Lai gan saskaņā ar LVMI “Silava” datiem 2017. gada vasarā tika novērota ļoti intensīva tīkllapsenes lidošana un priežu audžu defoliācija un kalšana, tomēr 2018. gada vasarā tīkllapseņu lidošanas aktivitāte bija ļoti zema, un koku vainagi daļēji atjaunojās. Starp meža slimību aktualitātēm minams tas, ka 2018. gadā vairākās vietās Latvijā (sevišķi Kurzemes reģionā) uz atsevišķiem ozoliem konstatēta 2017. gadā jaunatklātā bīstamā ozolu slimība – akūtā ozolu kalšana (LVMI “Silava” dati).</w:t>
      </w:r>
    </w:p>
    <w:p w14:paraId="56F4C26D"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Lai uzlabotu spējas pielāgoties un sekmētu noturīgumu pret klimata pārmaiņām un to radītajām sekām, kā arī izmantotu to radītās iespējas, ir izstrādāts Latvijas pielāgošanās klimata pārmaiņām plāns laika posmam līdz 2030.gadam, kas paredz klimata ietekmju, ievainojamības un risku izvērtējumu; pielāgošanās plānošanu; pielāgošanās pasākumu ieviešanu; monitoringu un izvērtēšanu.</w:t>
      </w:r>
    </w:p>
    <w:p w14:paraId="06D3B761"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Tā kā lauksaimniecība un mežsaimniecība ir tieši pakļautas laikapstākļu ietekmei, ir nozīmīgi noteikt nepieciešamos pielāgošanās pasākumus un veidot ieteikumus konkurētspējīgas nozares tālākai attīstībai, minimizējot klimata pārmaiņu ietekmē radušos riskus un realizējot </w:t>
      </w:r>
      <w:r w:rsidRPr="00C241F3">
        <w:rPr>
          <w:rFonts w:cs="Times New Roman"/>
          <w:szCs w:val="24"/>
          <w:lang w:eastAsia="en-GB"/>
        </w:rPr>
        <w:lastRenderedPageBreak/>
        <w:t xml:space="preserve">klimata pārmaiņu potenciālos ieguvumus. 9. Klimata pārmaiņu ietekmē Lauksaimniecībā būtiskākie konstatētie riski ir sējumu un stādījumu izsalšanas kailsalā risks, kultūraugu un dzīvnieku slimību un kaitēkļu izplatības risks, ražas un ražas kvalitātes zuduma nokrišņu dēļ ražas novākšanas laikā risks, izkalšanas risks, straujākas augsnes izžūšanas risks un ilgstošu karstuma viļņu ietekmes risks. Savukārt mežsaimniecībā būtiskākie ir koku slimību un kaitēkļu izplatības risks, vētras risks un ziemas sasaluma trūkums, kas apgrūtina mežizstrādi. Riskiem ir novērojama galvenokārt ekonomiskā ietekme. Sociālā ietekme veidojas pastarpināti no ekonomiskās: samazinoties konkrētu kultūraugu ražībai, samazinās saimniecības īpašnieku labklājība, kā arī saimniecības iespējas nodarbināt darbiniekus, tādējādi atstājot sociāli ekonomisku ietekmi uz reģionu, kurā saimniecība atrodas. Īpaši jūtama šo risku ietekme ir gadījumos, ja tiek skartas vairākas saimniecības vienā reģionā (piemēram, jāizkauj dzīvnieku slimības skarti ganāmpulki vai sasalstoša lietus bojājumi). 10. Finansiālā ietekme mežsaimniecībā novērtējama tikai aptuveni, ņemot vērā VMD datus par sanitārajām kailcirtēm pēdējos 10 gados, mežaudžu sadalījumu pa koku sugām un vecumstruktūru saskaņā ar Meža statistiskās inventarizācijas datiem un pieņēmumus par bojātās koksnes apjomu vai pieauguma samazinājumu. Veicot šādus aprēķinus konstatēts, ka, piemēram, vētru radītie tiešie zaudējumi meža īpašniekiem pēdējā desmitgadē bijuši ap 164 milj. euro, savukārt dendrofāgo kukaiņu radītie - ap 36 miljoniem eiro (Latvijas pielāgošanās klimata pārmaiņām plāns laika posmam līdz 2030. gadam). </w:t>
      </w:r>
    </w:p>
    <w:p w14:paraId="032EA74F"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Latvijas kopējo SEG emisiju laika rinda periodā no 1990. līdz 2018.gadam pa sektoriem redzama 5.</w:t>
      </w:r>
      <w:r w:rsidR="009661E1">
        <w:rPr>
          <w:rFonts w:cs="Times New Roman"/>
          <w:szCs w:val="24"/>
          <w:lang w:eastAsia="en-GB"/>
        </w:rPr>
        <w:t>8</w:t>
      </w:r>
      <w:r w:rsidRPr="00C241F3">
        <w:rPr>
          <w:rFonts w:cs="Times New Roman"/>
          <w:szCs w:val="24"/>
          <w:lang w:eastAsia="en-GB"/>
        </w:rPr>
        <w:t>. </w:t>
      </w:r>
      <w:r>
        <w:rPr>
          <w:rFonts w:cs="Times New Roman"/>
          <w:szCs w:val="24"/>
          <w:lang w:eastAsia="en-GB"/>
        </w:rPr>
        <w:t>attēlā.</w:t>
      </w:r>
    </w:p>
    <w:p w14:paraId="2FD5357A" w14:textId="636B55AD" w:rsidR="0079167A" w:rsidRPr="00C241F3" w:rsidRDefault="000654E1" w:rsidP="0079167A">
      <w:pPr>
        <w:spacing w:after="120"/>
        <w:jc w:val="both"/>
        <w:rPr>
          <w:rFonts w:cs="Times New Roman"/>
          <w:szCs w:val="24"/>
          <w:lang w:eastAsia="en-GB"/>
        </w:rPr>
      </w:pPr>
      <w:r>
        <w:rPr>
          <w:rFonts w:cs="Times New Roman"/>
          <w:noProof/>
          <w:szCs w:val="24"/>
          <w:lang w:eastAsia="lv-LV"/>
        </w:rPr>
        <w:drawing>
          <wp:inline distT="0" distB="0" distL="0" distR="0" wp14:anchorId="075B5E0A" wp14:editId="49C9F290">
            <wp:extent cx="5753100" cy="31432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3100" cy="3143250"/>
                    </a:xfrm>
                    <a:prstGeom prst="rect">
                      <a:avLst/>
                    </a:prstGeom>
                    <a:noFill/>
                    <a:ln>
                      <a:noFill/>
                    </a:ln>
                  </pic:spPr>
                </pic:pic>
              </a:graphicData>
            </a:graphic>
          </wp:inline>
        </w:drawing>
      </w:r>
    </w:p>
    <w:p w14:paraId="21715082" w14:textId="77777777" w:rsidR="0079167A" w:rsidRDefault="009661E1" w:rsidP="0079167A">
      <w:pPr>
        <w:spacing w:after="120"/>
        <w:jc w:val="both"/>
        <w:rPr>
          <w:i/>
        </w:rPr>
      </w:pPr>
      <w:r>
        <w:rPr>
          <w:b/>
          <w:i/>
        </w:rPr>
        <w:t>5.8</w:t>
      </w:r>
      <w:r w:rsidR="0079167A" w:rsidRPr="00C241F3">
        <w:rPr>
          <w:b/>
          <w:i/>
        </w:rPr>
        <w:t>. attēls. Latvijas SEG emisijas un CO</w:t>
      </w:r>
      <w:r w:rsidR="0079167A" w:rsidRPr="00C241F3">
        <w:rPr>
          <w:b/>
          <w:i/>
          <w:vertAlign w:val="subscript"/>
        </w:rPr>
        <w:t>2</w:t>
      </w:r>
      <w:r w:rsidR="0079167A" w:rsidRPr="00C241F3">
        <w:rPr>
          <w:b/>
          <w:i/>
        </w:rPr>
        <w:t xml:space="preserve"> piesaiste pa sektoriem 1990.-20</w:t>
      </w:r>
      <w:r w:rsidR="0079167A">
        <w:rPr>
          <w:b/>
          <w:i/>
        </w:rPr>
        <w:t>20</w:t>
      </w:r>
      <w:r w:rsidR="0079167A" w:rsidRPr="00C241F3">
        <w:rPr>
          <w:b/>
          <w:i/>
        </w:rPr>
        <w:t>.gadā (kt CO</w:t>
      </w:r>
      <w:r w:rsidR="0079167A" w:rsidRPr="00C241F3">
        <w:rPr>
          <w:b/>
          <w:i/>
          <w:vertAlign w:val="subscript"/>
        </w:rPr>
        <w:t>2</w:t>
      </w:r>
      <w:r w:rsidR="0079167A" w:rsidRPr="00C241F3">
        <w:rPr>
          <w:b/>
          <w:i/>
        </w:rPr>
        <w:t xml:space="preserve"> ekv.) </w:t>
      </w:r>
      <w:r w:rsidR="0079167A" w:rsidRPr="00C241F3">
        <w:rPr>
          <w:i/>
        </w:rPr>
        <w:t>(avots: 202</w:t>
      </w:r>
      <w:r w:rsidR="0079167A">
        <w:rPr>
          <w:i/>
        </w:rPr>
        <w:t>2</w:t>
      </w:r>
      <w:r w:rsidR="0079167A" w:rsidRPr="00C241F3">
        <w:rPr>
          <w:i/>
        </w:rPr>
        <w:t>.</w:t>
      </w:r>
      <w:r w:rsidR="0079167A" w:rsidRPr="00C241F3">
        <w:rPr>
          <w:rFonts w:cs="Times New Roman"/>
          <w:i/>
          <w:szCs w:val="24"/>
          <w:lang w:eastAsia="en-GB"/>
        </w:rPr>
        <w:t> gadā iesniegtā</w:t>
      </w:r>
      <w:r w:rsidR="0079167A" w:rsidRPr="00C241F3">
        <w:rPr>
          <w:i/>
        </w:rPr>
        <w:t xml:space="preserve"> SEG inventarizācija).</w:t>
      </w:r>
    </w:p>
    <w:p w14:paraId="132A44C6" w14:textId="77777777" w:rsidR="0079167A" w:rsidRDefault="0079167A" w:rsidP="0079167A">
      <w:pPr>
        <w:spacing w:after="120"/>
        <w:jc w:val="both"/>
        <w:rPr>
          <w:i/>
        </w:rPr>
      </w:pPr>
    </w:p>
    <w:p w14:paraId="579D2696" w14:textId="77777777" w:rsidR="0079167A" w:rsidRPr="00C241F3" w:rsidRDefault="0079167A" w:rsidP="0079167A">
      <w:pPr>
        <w:spacing w:after="120"/>
        <w:jc w:val="both"/>
        <w:rPr>
          <w:rFonts w:cs="Times New Roman"/>
          <w:szCs w:val="24"/>
          <w:lang w:eastAsia="en-GB"/>
        </w:rPr>
      </w:pPr>
      <w:r w:rsidRPr="00C241F3">
        <w:rPr>
          <w:rFonts w:cs="Times New Roman"/>
          <w:szCs w:val="24"/>
          <w:lang w:eastAsia="en-GB"/>
        </w:rPr>
        <w:t>5.5. attēlā parādīts SEG emisiju iedalījums pa sektoriem 2018.gadā.</w:t>
      </w:r>
      <w:r>
        <w:rPr>
          <w:rFonts w:cs="Times New Roman"/>
          <w:szCs w:val="24"/>
          <w:lang w:eastAsia="en-GB"/>
        </w:rPr>
        <w:t xml:space="preserve"> </w:t>
      </w:r>
      <w:r w:rsidRPr="00C241F3">
        <w:rPr>
          <w:rFonts w:cs="Times New Roman"/>
          <w:szCs w:val="24"/>
          <w:lang w:eastAsia="en-GB"/>
        </w:rPr>
        <w:t xml:space="preserve">Lauksaimniecība ir otrais lielākais emisiju sektors Latvijas </w:t>
      </w:r>
      <w:r w:rsidRPr="00C241F3">
        <w:rPr>
          <w:bCs/>
          <w:szCs w:val="24"/>
        </w:rPr>
        <w:t>kopējo (neskaitot ZIZIMM) SEG emisiju 2019. gadā (atbilstoši SEG inventarizācijai par laika posmu 1990.–2019. gads (2021)), lauksaimniecība radīja 19,8% (2202,37 kt CO</w:t>
      </w:r>
      <w:r w:rsidRPr="00C241F3">
        <w:rPr>
          <w:bCs/>
          <w:szCs w:val="24"/>
          <w:vertAlign w:val="subscript"/>
        </w:rPr>
        <w:t>2</w:t>
      </w:r>
      <w:r w:rsidRPr="00C241F3">
        <w:rPr>
          <w:bCs/>
          <w:szCs w:val="24"/>
        </w:rPr>
        <w:t xml:space="preserve"> ekv.), tomēr šim skaitlim nav tendence pieaugt ik gadu un ir vērojama pat pretēja tendence: piemēram, 2018. gadā šis skaitlis bija </w:t>
      </w:r>
      <w:r w:rsidRPr="00C241F3">
        <w:rPr>
          <w:rFonts w:cs="Times New Roman"/>
          <w:szCs w:val="24"/>
          <w:lang w:eastAsia="en-GB"/>
        </w:rPr>
        <w:t>22,3% (2609,40 kt CO</w:t>
      </w:r>
      <w:r w:rsidRPr="00C241F3">
        <w:rPr>
          <w:rFonts w:cs="Times New Roman"/>
          <w:szCs w:val="24"/>
          <w:vertAlign w:val="subscript"/>
          <w:lang w:eastAsia="en-GB"/>
        </w:rPr>
        <w:t>2</w:t>
      </w:r>
      <w:r w:rsidRPr="00C241F3">
        <w:rPr>
          <w:rFonts w:cs="Times New Roman"/>
          <w:szCs w:val="24"/>
          <w:lang w:eastAsia="en-GB"/>
        </w:rPr>
        <w:t> ek</w:t>
      </w:r>
      <w:r w:rsidR="009661E1">
        <w:rPr>
          <w:rFonts w:cs="Times New Roman"/>
          <w:szCs w:val="24"/>
          <w:lang w:eastAsia="en-GB"/>
        </w:rPr>
        <w:t>v.), neskaitot ZIZIMM (skat. 5.9</w:t>
      </w:r>
      <w:r w:rsidRPr="00C241F3">
        <w:rPr>
          <w:rFonts w:cs="Times New Roman"/>
          <w:szCs w:val="24"/>
          <w:lang w:eastAsia="en-GB"/>
        </w:rPr>
        <w:t>. attēlu). Šo lauksaimniecības emisiju sadalījums pa lauksaimniecisko darbību veidiem parādīts 5.</w:t>
      </w:r>
      <w:r w:rsidR="009661E1">
        <w:rPr>
          <w:rFonts w:cs="Times New Roman"/>
          <w:szCs w:val="24"/>
          <w:lang w:eastAsia="en-GB"/>
        </w:rPr>
        <w:t>10</w:t>
      </w:r>
      <w:r w:rsidRPr="00C241F3">
        <w:rPr>
          <w:rFonts w:cs="Times New Roman"/>
          <w:szCs w:val="24"/>
          <w:lang w:eastAsia="en-GB"/>
        </w:rPr>
        <w:t>. attēlā: 2/5 visu lauksaimniecības SEG emisiju emitē tieši augsnes.</w:t>
      </w:r>
    </w:p>
    <w:p w14:paraId="42DE2D59" w14:textId="77777777" w:rsidR="0079167A" w:rsidRPr="00C241F3" w:rsidRDefault="0079167A" w:rsidP="0079167A">
      <w:pPr>
        <w:spacing w:after="120"/>
        <w:jc w:val="both"/>
        <w:rPr>
          <w:rFonts w:cs="Times New Roman"/>
          <w:szCs w:val="24"/>
          <w:lang w:eastAsia="en-GB"/>
        </w:rPr>
      </w:pPr>
    </w:p>
    <w:p w14:paraId="607E758A" w14:textId="5D414667" w:rsidR="000B6CCC" w:rsidRDefault="000654E1" w:rsidP="0079167A">
      <w:pPr>
        <w:spacing w:after="120"/>
        <w:jc w:val="both"/>
        <w:rPr>
          <w:b/>
          <w:i/>
        </w:rPr>
      </w:pPr>
      <w:r>
        <w:rPr>
          <w:b/>
          <w:i/>
          <w:noProof/>
          <w:lang w:eastAsia="lv-LV"/>
        </w:rPr>
        <w:drawing>
          <wp:inline distT="0" distB="0" distL="0" distR="0" wp14:anchorId="57334AA5" wp14:editId="2E53BB32">
            <wp:extent cx="5753100" cy="22669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3100" cy="2266950"/>
                    </a:xfrm>
                    <a:prstGeom prst="rect">
                      <a:avLst/>
                    </a:prstGeom>
                    <a:noFill/>
                    <a:ln>
                      <a:noFill/>
                    </a:ln>
                  </pic:spPr>
                </pic:pic>
              </a:graphicData>
            </a:graphic>
          </wp:inline>
        </w:drawing>
      </w:r>
    </w:p>
    <w:p w14:paraId="6E701089" w14:textId="77777777" w:rsidR="0079167A" w:rsidRPr="00C241F3" w:rsidRDefault="0079167A" w:rsidP="0079167A">
      <w:pPr>
        <w:spacing w:after="120"/>
        <w:jc w:val="both"/>
        <w:rPr>
          <w:i/>
        </w:rPr>
      </w:pPr>
      <w:r w:rsidRPr="00C241F3">
        <w:rPr>
          <w:b/>
          <w:i/>
        </w:rPr>
        <w:t>5</w:t>
      </w:r>
      <w:r w:rsidR="009661E1">
        <w:rPr>
          <w:b/>
          <w:i/>
        </w:rPr>
        <w:t>.9</w:t>
      </w:r>
      <w:r w:rsidRPr="00C241F3">
        <w:rPr>
          <w:b/>
          <w:i/>
        </w:rPr>
        <w:t xml:space="preserve">. attēls. </w:t>
      </w:r>
      <w:r w:rsidR="000B6CCC">
        <w:rPr>
          <w:b/>
          <w:i/>
        </w:rPr>
        <w:t>E</w:t>
      </w:r>
      <w:r w:rsidR="000B6CCC" w:rsidRPr="000B6CCC">
        <w:rPr>
          <w:b/>
          <w:i/>
        </w:rPr>
        <w:t xml:space="preserve">nerģētikas sektora </w:t>
      </w:r>
      <w:r w:rsidR="00336605">
        <w:rPr>
          <w:b/>
          <w:i/>
        </w:rPr>
        <w:t>(ieskaitot transportu</w:t>
      </w:r>
      <w:r w:rsidR="00EA24B8">
        <w:rPr>
          <w:b/>
          <w:i/>
        </w:rPr>
        <w:t>: 29,7%, pārējais – 35,1%</w:t>
      </w:r>
      <w:r w:rsidR="00336605">
        <w:rPr>
          <w:b/>
          <w:i/>
        </w:rPr>
        <w:t xml:space="preserve">) </w:t>
      </w:r>
      <w:r w:rsidR="000B6CCC" w:rsidRPr="000B6CCC">
        <w:rPr>
          <w:b/>
          <w:i/>
        </w:rPr>
        <w:t>emisijas 2020.gadā salīdzin</w:t>
      </w:r>
      <w:r w:rsidR="00EA24B8">
        <w:rPr>
          <w:b/>
          <w:i/>
        </w:rPr>
        <w:t>ājumā</w:t>
      </w:r>
      <w:r w:rsidR="000B6CCC" w:rsidRPr="000B6CCC">
        <w:rPr>
          <w:b/>
          <w:i/>
        </w:rPr>
        <w:t xml:space="preserve"> ar Latvijas kopējām SEG emisijām </w:t>
      </w:r>
      <w:r w:rsidRPr="00C241F3">
        <w:rPr>
          <w:i/>
        </w:rPr>
        <w:t>(avots: 202</w:t>
      </w:r>
      <w:r w:rsidR="000B6CCC">
        <w:rPr>
          <w:i/>
        </w:rPr>
        <w:t>2</w:t>
      </w:r>
      <w:r w:rsidRPr="00C241F3">
        <w:rPr>
          <w:i/>
        </w:rPr>
        <w:t>.</w:t>
      </w:r>
      <w:r w:rsidRPr="00C241F3">
        <w:rPr>
          <w:rFonts w:cs="Times New Roman"/>
          <w:i/>
          <w:szCs w:val="24"/>
          <w:lang w:eastAsia="en-GB"/>
        </w:rPr>
        <w:t> gadā iesniegtā</w:t>
      </w:r>
      <w:r w:rsidRPr="00C241F3">
        <w:rPr>
          <w:i/>
        </w:rPr>
        <w:t xml:space="preserve"> SEG inventarizācija).</w:t>
      </w:r>
    </w:p>
    <w:p w14:paraId="5C375D11" w14:textId="77777777" w:rsidR="0079167A" w:rsidRPr="00C241F3" w:rsidRDefault="0079167A" w:rsidP="0079167A">
      <w:pPr>
        <w:spacing w:after="120"/>
        <w:jc w:val="both"/>
        <w:rPr>
          <w:rFonts w:cs="Times New Roman"/>
          <w:szCs w:val="24"/>
          <w:lang w:eastAsia="en-GB"/>
        </w:rPr>
      </w:pPr>
    </w:p>
    <w:p w14:paraId="52FA3469" w14:textId="50B6582E" w:rsidR="0079167A" w:rsidRPr="00C241F3" w:rsidRDefault="000654E1" w:rsidP="0079167A">
      <w:pPr>
        <w:spacing w:after="120"/>
        <w:jc w:val="both"/>
        <w:rPr>
          <w:rFonts w:cs="Times New Roman"/>
          <w:szCs w:val="24"/>
          <w:lang w:eastAsia="en-GB"/>
        </w:rPr>
      </w:pPr>
      <w:r>
        <w:rPr>
          <w:rFonts w:cs="Times New Roman"/>
          <w:noProof/>
          <w:szCs w:val="24"/>
          <w:lang w:eastAsia="lv-LV"/>
        </w:rPr>
        <w:drawing>
          <wp:inline distT="0" distB="0" distL="0" distR="0" wp14:anchorId="65C391CD" wp14:editId="00442118">
            <wp:extent cx="5762625" cy="31242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2625" cy="3124200"/>
                    </a:xfrm>
                    <a:prstGeom prst="rect">
                      <a:avLst/>
                    </a:prstGeom>
                    <a:noFill/>
                    <a:ln>
                      <a:noFill/>
                    </a:ln>
                  </pic:spPr>
                </pic:pic>
              </a:graphicData>
            </a:graphic>
          </wp:inline>
        </w:drawing>
      </w:r>
    </w:p>
    <w:p w14:paraId="63B974D0" w14:textId="77777777" w:rsidR="0079167A" w:rsidRPr="00C241F3" w:rsidRDefault="009661E1" w:rsidP="0079167A">
      <w:pPr>
        <w:spacing w:after="120"/>
        <w:jc w:val="both"/>
        <w:rPr>
          <w:i/>
        </w:rPr>
      </w:pPr>
      <w:r>
        <w:rPr>
          <w:b/>
          <w:i/>
        </w:rPr>
        <w:t>5.10</w:t>
      </w:r>
      <w:r w:rsidR="0079167A" w:rsidRPr="00C241F3">
        <w:rPr>
          <w:b/>
          <w:i/>
        </w:rPr>
        <w:t xml:space="preserve">. attēls. </w:t>
      </w:r>
      <w:r w:rsidR="007733E8" w:rsidRPr="007733E8">
        <w:rPr>
          <w:b/>
          <w:i/>
        </w:rPr>
        <w:t>Enerģētikas sektora emisijas 1990.-2020.gadā (kt CO</w:t>
      </w:r>
      <w:r w:rsidR="007733E8" w:rsidRPr="00C528B7">
        <w:rPr>
          <w:rFonts w:ascii="Times New Roman Bold" w:hAnsi="Times New Roman Bold"/>
          <w:b/>
          <w:i/>
          <w:vertAlign w:val="subscript"/>
        </w:rPr>
        <w:t>2</w:t>
      </w:r>
      <w:r w:rsidR="007733E8" w:rsidRPr="007733E8">
        <w:rPr>
          <w:b/>
          <w:i/>
        </w:rPr>
        <w:t xml:space="preserve"> ekv.)</w:t>
      </w:r>
      <w:r w:rsidR="0079167A" w:rsidRPr="00C241F3">
        <w:rPr>
          <w:i/>
        </w:rPr>
        <w:t xml:space="preserve"> (avots: 2020.</w:t>
      </w:r>
      <w:r w:rsidR="0079167A" w:rsidRPr="00C241F3">
        <w:rPr>
          <w:rFonts w:cs="Times New Roman"/>
          <w:i/>
          <w:szCs w:val="24"/>
          <w:lang w:eastAsia="en-GB"/>
        </w:rPr>
        <w:t> gadā iesniegtā</w:t>
      </w:r>
      <w:r w:rsidR="0079167A" w:rsidRPr="00C241F3">
        <w:rPr>
          <w:i/>
        </w:rPr>
        <w:t xml:space="preserve"> SEG inventarizācija).</w:t>
      </w:r>
    </w:p>
    <w:p w14:paraId="5CC33324" w14:textId="77777777" w:rsidR="0079167A" w:rsidRPr="00C241F3" w:rsidRDefault="0079167A" w:rsidP="0079167A">
      <w:pPr>
        <w:pStyle w:val="Heading2"/>
        <w:rPr>
          <w:rFonts w:ascii="Times New Roman" w:eastAsia="Times New Roman" w:hAnsi="Times New Roman"/>
          <w:b w:val="0"/>
          <w:i w:val="0"/>
          <w:sz w:val="24"/>
          <w:szCs w:val="24"/>
          <w:lang w:val="lv-LV"/>
        </w:rPr>
      </w:pPr>
    </w:p>
    <w:p w14:paraId="478DD547" w14:textId="77777777" w:rsidR="00EC5ADD" w:rsidRPr="004826D1" w:rsidRDefault="00EC5ADD" w:rsidP="00D40E83"/>
    <w:p w14:paraId="273BDF88" w14:textId="77777777" w:rsidR="00EC5ADD" w:rsidRPr="004826D1" w:rsidRDefault="00EC5ADD" w:rsidP="00EC5ADD">
      <w:pPr>
        <w:pStyle w:val="Heading2"/>
        <w:spacing w:after="120"/>
        <w:jc w:val="both"/>
        <w:rPr>
          <w:rFonts w:ascii="Times New Roman" w:hAnsi="Times New Roman"/>
          <w:b w:val="0"/>
          <w:i w:val="0"/>
          <w:szCs w:val="28"/>
          <w:lang w:val="lv-LV"/>
        </w:rPr>
      </w:pPr>
      <w:bookmarkStart w:id="233" w:name="_Toc169602291"/>
      <w:r w:rsidRPr="004826D1">
        <w:rPr>
          <w:rFonts w:ascii="Times New Roman" w:hAnsi="Times New Roman"/>
          <w:szCs w:val="28"/>
          <w:lang w:val="lv-LV"/>
        </w:rPr>
        <w:t>5.</w:t>
      </w:r>
      <w:r w:rsidR="00E851B9" w:rsidRPr="004826D1">
        <w:rPr>
          <w:rFonts w:ascii="Times New Roman" w:hAnsi="Times New Roman"/>
          <w:szCs w:val="28"/>
          <w:lang w:val="lv-LV"/>
        </w:rPr>
        <w:t>8</w:t>
      </w:r>
      <w:r w:rsidRPr="004826D1">
        <w:rPr>
          <w:rFonts w:ascii="Times New Roman" w:hAnsi="Times New Roman"/>
          <w:szCs w:val="28"/>
          <w:lang w:val="lv-LV"/>
        </w:rPr>
        <w:t xml:space="preserve"> Ainavas</w:t>
      </w:r>
      <w:bookmarkEnd w:id="233"/>
      <w:r w:rsidRPr="004826D1">
        <w:rPr>
          <w:rFonts w:ascii="Times New Roman" w:hAnsi="Times New Roman"/>
          <w:szCs w:val="28"/>
          <w:lang w:val="lv-LV"/>
        </w:rPr>
        <w:tab/>
      </w:r>
    </w:p>
    <w:p w14:paraId="3EFB3CF9" w14:textId="77777777" w:rsidR="005653DA" w:rsidRPr="00C241F3" w:rsidRDefault="005653DA" w:rsidP="00AE5109">
      <w:pPr>
        <w:spacing w:before="120" w:after="120"/>
        <w:jc w:val="both"/>
        <w:rPr>
          <w:rFonts w:cs="Times New Roman"/>
          <w:lang w:eastAsia="en-GB"/>
        </w:rPr>
      </w:pPr>
      <w:r w:rsidRPr="00C241F3">
        <w:rPr>
          <w:rFonts w:cs="Times New Roman"/>
          <w:lang w:eastAsia="en-GB"/>
        </w:rPr>
        <w:t xml:space="preserve">Ainava ir gan cilvēka, gan floras un faunas dzīvesvide. Ainava var būt gan tūrisma resurss, gan kultūrvēsturiska vērtība. Ainavu dažādība ir bioloģisko daudzveidību palielinošs elements. </w:t>
      </w:r>
    </w:p>
    <w:p w14:paraId="475EEAC2" w14:textId="77777777" w:rsidR="005653DA" w:rsidRDefault="005653DA" w:rsidP="00AE5109">
      <w:pPr>
        <w:spacing w:before="120" w:after="120"/>
        <w:jc w:val="both"/>
        <w:rPr>
          <w:rFonts w:cs="Times New Roman"/>
          <w:lang w:eastAsia="en-GB"/>
        </w:rPr>
      </w:pPr>
      <w:r w:rsidRPr="00C241F3">
        <w:rPr>
          <w:rFonts w:cs="Times New Roman"/>
          <w:lang w:eastAsia="en-GB"/>
        </w:rPr>
        <w:t>Latvijai kopumā raksturīgākās ir mozaīkveida, lauksaimniecības zemju (āraines) un meža ainavas (mežaines) (skat. 5.</w:t>
      </w:r>
      <w:r w:rsidR="009661E1">
        <w:rPr>
          <w:rFonts w:cs="Times New Roman"/>
          <w:lang w:eastAsia="en-GB"/>
        </w:rPr>
        <w:t>11</w:t>
      </w:r>
      <w:r w:rsidRPr="00C241F3">
        <w:rPr>
          <w:rFonts w:cs="Times New Roman"/>
          <w:lang w:eastAsia="en-GB"/>
        </w:rPr>
        <w:t xml:space="preserve">. attēlu, </w:t>
      </w:r>
      <w:r w:rsidR="009661E1">
        <w:rPr>
          <w:rFonts w:cs="Times New Roman"/>
          <w:lang w:eastAsia="en-GB"/>
        </w:rPr>
        <w:t>pirm</w:t>
      </w:r>
      <w:r w:rsidRPr="00C241F3">
        <w:rPr>
          <w:rFonts w:cs="Times New Roman"/>
          <w:lang w:eastAsia="en-GB"/>
        </w:rPr>
        <w:t xml:space="preserve">avots: Nikodemus &amp; al., 2000). Lauksaimniecība, mežsaimniecība un būvniecība ir daži no ainavu visbūtiskāk ietekmējošiem faktoriem Latvijā. Tādējādi ainava ir cieši saistīta ar cilvēka darbību un, līdz ar to, arī ar dažāda līmeņa </w:t>
      </w:r>
      <w:r w:rsidRPr="00C241F3">
        <w:rPr>
          <w:rFonts w:cs="Times New Roman"/>
          <w:lang w:eastAsia="en-GB"/>
        </w:rPr>
        <w:lastRenderedPageBreak/>
        <w:t>plānošanas dokumentiem. Pārdomāta plānošana ir viens no nozīmīgākajiem veidiem, kā ainavu saglabāt vai pat paaugstināt tās vērtību.</w:t>
      </w:r>
    </w:p>
    <w:p w14:paraId="1F60E733" w14:textId="77777777" w:rsidR="00FB1099" w:rsidRPr="004826D1"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Teritorijas ar savdabīgām vai daudzveidīgām Latvijai raksturīgām ainavām ir iekļautas īpaši aizsargājamās teritorijās – Aizsargājamo ainavu apvidos (23.02.1999. MK noteikumi Nr.69 „Noteikumi par aizsargājamo ainavu apvidiem”). Šādu teritoriju mērķis ir aizsargāt un saglabāt raksturīgo ainavu un tos ainavas elementus, kas ir būtiski aizsargājamo sugu un biotopu ekoloģisko funkciju nodrošināšanai, Latvijai raksturīgajai kultūrvidei un ainavas daudzveidībai, kā arī nodrošināt sabiedrības atpūtai un tūrismam piemērotas vides saglabāšanu un dabu saudzējošu apsaimniekošanu. Pavisam Latvijā izveidoti deviņi aizsargājamo ainavu apvidi – Augšdaugava, Augšzeme, Ādaži, Kaučers, Nīcgales meži, Veclaicene, Vecpiebalga, Vestiena un Ziemeļgauja. Dažādu kategoriju aizsargājamās teritorijās ir iekļautas arī dažādu reģionu tipiskas un kultūrvēsturiskas ainavas, kā arī ir ainaviskas teritorijas, kuru aizsardzībai juridiski nav noteikts nekāds statuss.</w:t>
      </w:r>
      <w:r w:rsidR="00FB1099" w:rsidRPr="004826D1">
        <w:rPr>
          <w:rFonts w:cs="Times New Roman"/>
          <w:lang w:eastAsia="en-GB"/>
        </w:rPr>
        <w:t xml:space="preserve"> Eiropas ainavu konvencija definē ainavu kā „teritoriju tādā nozīmē, kā to uztver cilvēki, un kas ir izveidojusies dabas un/vai cilvēku darbības un mijiedarbības rezultātā”.</w:t>
      </w:r>
    </w:p>
    <w:p w14:paraId="63925762" w14:textId="77777777" w:rsidR="00FB1099" w:rsidRPr="00C241F3" w:rsidRDefault="00FB1099" w:rsidP="005653DA">
      <w:pPr>
        <w:autoSpaceDE w:val="0"/>
        <w:autoSpaceDN w:val="0"/>
        <w:adjustRightInd w:val="0"/>
        <w:jc w:val="both"/>
        <w:rPr>
          <w:rFonts w:cs="Times New Roman"/>
          <w:lang w:eastAsia="en-GB"/>
        </w:rPr>
      </w:pPr>
    </w:p>
    <w:p w14:paraId="002F2BDD" w14:textId="77777777" w:rsidR="005653DA" w:rsidRPr="00C241F3" w:rsidRDefault="005653DA" w:rsidP="005653DA">
      <w:pPr>
        <w:spacing w:after="120"/>
        <w:jc w:val="both"/>
        <w:rPr>
          <w:rFonts w:cs="Times New Roman"/>
          <w:lang w:eastAsia="en-GB"/>
        </w:rPr>
      </w:pPr>
    </w:p>
    <w:p w14:paraId="2CB267EC" w14:textId="46E7E7B1" w:rsidR="005653DA" w:rsidRPr="00C241F3" w:rsidRDefault="000654E1" w:rsidP="005653DA">
      <w:pPr>
        <w:spacing w:after="120"/>
        <w:jc w:val="both"/>
        <w:rPr>
          <w:rFonts w:cs="Times New Roman"/>
          <w:lang w:eastAsia="en-GB"/>
        </w:rPr>
      </w:pPr>
      <w:r>
        <w:rPr>
          <w:rFonts w:cs="Times New Roman"/>
          <w:noProof/>
          <w:lang w:eastAsia="lv-LV"/>
        </w:rPr>
        <w:drawing>
          <wp:inline distT="0" distB="0" distL="0" distR="0" wp14:anchorId="1ABD5AF6" wp14:editId="77DF26FE">
            <wp:extent cx="5676900" cy="34385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6900" cy="3438525"/>
                    </a:xfrm>
                    <a:prstGeom prst="rect">
                      <a:avLst/>
                    </a:prstGeom>
                    <a:noFill/>
                    <a:ln>
                      <a:noFill/>
                    </a:ln>
                  </pic:spPr>
                </pic:pic>
              </a:graphicData>
            </a:graphic>
          </wp:inline>
        </w:drawing>
      </w:r>
    </w:p>
    <w:p w14:paraId="534989C6" w14:textId="77777777" w:rsidR="005653DA" w:rsidRPr="00C241F3" w:rsidRDefault="0012774A" w:rsidP="005653DA">
      <w:pPr>
        <w:spacing w:after="120"/>
        <w:jc w:val="both"/>
        <w:rPr>
          <w:rFonts w:cs="Times New Roman"/>
          <w:b/>
          <w:i/>
          <w:lang w:eastAsia="en-GB"/>
        </w:rPr>
      </w:pPr>
      <w:r>
        <w:rPr>
          <w:rFonts w:cs="Times New Roman"/>
          <w:b/>
          <w:i/>
          <w:lang w:eastAsia="en-GB"/>
        </w:rPr>
        <w:t>5.11</w:t>
      </w:r>
      <w:r w:rsidR="005653DA" w:rsidRPr="00C241F3">
        <w:rPr>
          <w:rFonts w:cs="Times New Roman"/>
          <w:b/>
          <w:i/>
          <w:lang w:eastAsia="en-GB"/>
        </w:rPr>
        <w:t xml:space="preserve">. attēls Latvijas ainavu veidi </w:t>
      </w:r>
      <w:r w:rsidR="005653DA" w:rsidRPr="00C241F3">
        <w:rPr>
          <w:rFonts w:cs="Times New Roman"/>
          <w:i/>
          <w:iCs/>
          <w:lang w:eastAsia="en-GB"/>
        </w:rPr>
        <w:t xml:space="preserve">(avots: </w:t>
      </w:r>
      <w:r w:rsidR="009661E1" w:rsidRPr="009661E1">
        <w:rPr>
          <w:rFonts w:cs="Times New Roman"/>
          <w:i/>
          <w:iCs/>
          <w:lang w:eastAsia="en-GB"/>
        </w:rPr>
        <w:t>Agroresursu un ekonomikas institūts</w:t>
      </w:r>
      <w:r w:rsidR="005653DA" w:rsidRPr="00C241F3">
        <w:rPr>
          <w:rFonts w:cs="Times New Roman"/>
          <w:i/>
          <w:iCs/>
          <w:lang w:eastAsia="en-GB"/>
        </w:rPr>
        <w:t>)</w:t>
      </w:r>
    </w:p>
    <w:p w14:paraId="47374C44" w14:textId="77777777" w:rsidR="005653DA" w:rsidRPr="00C241F3" w:rsidRDefault="005653DA" w:rsidP="005653DA">
      <w:pPr>
        <w:autoSpaceDE w:val="0"/>
        <w:autoSpaceDN w:val="0"/>
        <w:adjustRightInd w:val="0"/>
        <w:jc w:val="both"/>
        <w:rPr>
          <w:rFonts w:cs="Times New Roman"/>
          <w:lang w:eastAsia="en-GB"/>
        </w:rPr>
      </w:pPr>
    </w:p>
    <w:p w14:paraId="2F75B6A7" w14:textId="77777777" w:rsidR="005653DA" w:rsidRPr="00C241F3"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Latvijas ainavai ir izteikti reģionālas raksturiezīmes, kuras ir veidojušās ilgstošā laikposmā, mijiedarbojoties dabas un cilvēka saimnieciskajai darbībai.</w:t>
      </w:r>
    </w:p>
    <w:p w14:paraId="51ECF85D" w14:textId="77777777" w:rsidR="005653DA" w:rsidRPr="00C241F3"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 xml:space="preserve">Lai arī izpratne par to, kas ir augstvērtīga ainava, var būt subjektīva, ainavas kvalitātes vērtēšanai iespējams izmantot fizikālus rādītājus, kas raksturo tās telpisko struktūru. Latvijas sabiedrībā, kā arī zinātnieku aprindās, kā augstvērtīgāku uztver mozaīkveida ainavu, kuru veido lielāks ainavas elementu un zemes lietojuma veidu/telpisko vienību skaits. Kā negatīva iezīme tiek vērtēta ainavas homogenizācija jeb ainavas elementu un zemes lietojuma veidu daudzveidības mazināšanās. Šim homogenizācijas procesam ir dažādas izpausmes atšķirībā no ainavas ģeogrāfiskā novietojuma (t.sk., teritorijas biofizikālajiem apstākļiem). Latvijas teritorijā ainava nav viendabīga – tās raksturu nosaka dabas apstākļi (reljefs, klimats, augsnes, </w:t>
      </w:r>
      <w:r w:rsidRPr="00C241F3">
        <w:rPr>
          <w:rFonts w:cs="Times New Roman"/>
          <w:lang w:eastAsia="en-GB"/>
        </w:rPr>
        <w:lastRenderedPageBreak/>
        <w:t>mitruma apstākļi u.c.), kā arī dominējošais zemes lietojuma veids, ko savukārt ietekmē arī sociālekonomiskie apstākļi (attālums no lielām apdzīvotām vietām, iedzīvotāju skaits un vecumstruktūra, nodarbinātība u.c.).</w:t>
      </w:r>
    </w:p>
    <w:p w14:paraId="0B00DD82" w14:textId="77777777" w:rsidR="005653DA" w:rsidRPr="00C241F3"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Ainava ir mainīga: mainoties zemes apsaimniekošanas praksei, mainās zemes lietojuma veidu telpiskā struktūra un līdz ar to arī ainava. Šo procesu ietekmē dažādas sociālekonomiskas vai politiskas pārmaiņas, zemes reformas, kā arī zemes lietojuma prioritāšu maiņa un ar to saistītā lauku atbalsta politika.</w:t>
      </w:r>
    </w:p>
    <w:p w14:paraId="3B3E6FE9" w14:textId="77777777" w:rsidR="00E032B6" w:rsidRDefault="009C0409" w:rsidP="00AE5109">
      <w:pPr>
        <w:spacing w:before="120" w:after="120"/>
        <w:jc w:val="both"/>
        <w:rPr>
          <w:rFonts w:cs="Times New Roman"/>
          <w:lang w:eastAsia="en-GB"/>
        </w:rPr>
      </w:pPr>
      <w:r w:rsidRPr="004826D1">
        <w:rPr>
          <w:rFonts w:cs="Times New Roman"/>
          <w:lang w:eastAsia="en-GB"/>
        </w:rPr>
        <w:t>Latvijas ainavas ir veidojušās ilgā laika posmā ciešā dabas procesu un cilvēku aktivitāšu mijiedarbībā. Latvijas mūsdienu ainavu telpa ir niansēta un daudzveidīga. Pēc valdošā cilvēku darbības veida ir izšķiramas mežsaimniecības, lauksaimniecības, kā arī urbānās ainavas, kuras raksturo noteiktas funkcijas un atbilstošs vizuālais veidols. Savukārt reljefa atšķirību dēļ var izdalīt līdzenumu un pauguraiņu ainavas. Cilvēku dzīvesveida izmaiņu un tehnoloģiskās attīstības rezultātā vēsturiskās Latvijas ainavu funkcijas tiek papildinātas ar jaunām funkcijām. Piepilsētu dzīvojamā un darījumu apbūve, vēja parki un vasarnīcu apbūve ir tikai daži no piemēriem kā atbilstoši sabiedrības vajadzībām un prasībām veidojas jaunas ainavas. Izdala reģionālas ainavu telpas, parasti tās telpiski piesaistot Latvijas</w:t>
      </w:r>
      <w:r w:rsidR="00E032B6" w:rsidRPr="004826D1">
        <w:rPr>
          <w:rFonts w:cs="Times New Roman"/>
          <w:lang w:eastAsia="en-GB"/>
        </w:rPr>
        <w:t xml:space="preserve"> </w:t>
      </w:r>
      <w:r w:rsidRPr="004826D1">
        <w:rPr>
          <w:rFonts w:cs="Times New Roman"/>
          <w:lang w:eastAsia="en-GB"/>
        </w:rPr>
        <w:t>kultūrvēsturiskajiem novadiem – Kurzemei, Zemgalei, Vidzemei un Latgalei un funkcionālajiem reģioniem – jūras piekrastei, Pierīgai.</w:t>
      </w:r>
    </w:p>
    <w:p w14:paraId="65581383" w14:textId="77777777" w:rsidR="00FB1099" w:rsidRPr="00C241F3" w:rsidRDefault="00FB1099" w:rsidP="00AE5109">
      <w:pPr>
        <w:autoSpaceDE w:val="0"/>
        <w:autoSpaceDN w:val="0"/>
        <w:adjustRightInd w:val="0"/>
        <w:spacing w:before="120" w:after="120"/>
        <w:jc w:val="both"/>
        <w:rPr>
          <w:rFonts w:cs="Times New Roman"/>
          <w:lang w:eastAsia="en-GB"/>
        </w:rPr>
      </w:pPr>
      <w:r w:rsidRPr="00C241F3">
        <w:rPr>
          <w:rFonts w:cs="Times New Roman"/>
          <w:lang w:eastAsia="en-GB"/>
        </w:rPr>
        <w:t>Ainavas vizuālā kvalitāte un to veidojošie lauku ainavas elementi ir cieši saistīti ar ainavas tipu (līdzenuma, viļņota līdzenuma vai pauguraines ainava) un ainavas apsaimniekošanu (t.sk., vēsturisko ainavas veidošanos). Lauksaimniecības industrializācijas laikmetā 20. gs. laikā daudzas lauksaimniecībai īpaši piemērotās līdzenumu ainavas ir vienveidotas (homogenizētas), novācot lauksaimniecībai traucējošos elementus (viensētas, koku grupas, atsevišķus kokus u.c.), meliorējot, iztaisnojot mazās upes un ceļus. Tādējādi ir izveidojušās plašas un atklātas lauksaimniecības zemju ainavas, kas mūsdienās ir kļuvušas par ainavu (skatu ainavu) vērtībām. Tomēr šajās intensīvajās lauksaimniecības ainavās joprojām ir saglabājies pietiekami liels elementu īpatsvars, kuru uzturēšanai, uzlabošanai un jaunu ainavekoloģiski funkcionālu elementu veidošanai lauksaimniecības un lauku attīstības politikās netiek pievērsta atbilstoša uzmanība (šo elementu uzturēšana ir nosacījums arī bioloģiskās daudzveidības uzturēšanai šajās ainavās).</w:t>
      </w:r>
    </w:p>
    <w:p w14:paraId="7EF16892" w14:textId="77777777" w:rsidR="00FB1099" w:rsidRPr="00C241F3" w:rsidRDefault="00FB1099" w:rsidP="00AE5109">
      <w:pPr>
        <w:autoSpaceDE w:val="0"/>
        <w:autoSpaceDN w:val="0"/>
        <w:adjustRightInd w:val="0"/>
        <w:spacing w:before="120" w:after="120"/>
        <w:jc w:val="both"/>
        <w:rPr>
          <w:rFonts w:cs="Times New Roman"/>
          <w:lang w:eastAsia="en-GB"/>
        </w:rPr>
      </w:pPr>
      <w:r w:rsidRPr="00C241F3">
        <w:rPr>
          <w:rFonts w:cs="Times New Roman"/>
          <w:lang w:eastAsia="en-GB"/>
        </w:rPr>
        <w:t>Pauguraiņu ainavas elementu ziņā ir daudzveidīgākas par līdzenuma ainavām, ko nosaka reljefa daudzveidība un teritorijas apsaimniekošanas raksturs. Pārsvarā tās ir ekstensīvas lauksaimniecības teritorijas, kuru uzturēšana ir cieši saistīta ar ES platību maksājumiem, nišu un bioloģisko lauksaimniecību, otro māju un lauku tūrisma dzīvesveida attīstību. Ainavu vizuālo kvalitāti te nosaka skatu vietu un ainavas elementu daudzveidība. Tādējādi šīs ainavas ir būtiskas tieši vietējās ekonomikas attīstībai kā tūrisma, rekreācijas un otro (vasaras) māju vietu resurss. Taču vizuāli kvalitātes un bioloģiskās daudzveidības nosacījums ir cilvēka saimnieciskā darbība – galvenokārt, lauksaimniecība. Šīs teritorijas ir tās, kas mūsdienās ir pakļautas homogenizācijai, galvenokārt lauksaimniecības darbību izsīkšanas rezultātā. Galvenā lauksaimniecības raksturiezīme mūsdienās šajās ainavās ir lopkopība – dažādas pļavu un ganību ainavas.</w:t>
      </w:r>
    </w:p>
    <w:p w14:paraId="0E459D08" w14:textId="77777777" w:rsidR="00E032B6" w:rsidRPr="004826D1" w:rsidRDefault="009C0409" w:rsidP="00AE5109">
      <w:pPr>
        <w:spacing w:before="120" w:after="120"/>
        <w:jc w:val="both"/>
        <w:rPr>
          <w:rFonts w:cs="Times New Roman"/>
          <w:lang w:eastAsia="en-GB"/>
        </w:rPr>
      </w:pPr>
      <w:r w:rsidRPr="004826D1">
        <w:rPr>
          <w:rFonts w:cs="Times New Roman"/>
          <w:lang w:eastAsia="en-GB"/>
        </w:rPr>
        <w:t>Meža ainavas pamats ir mežs visā tā daudzveidībā. Tā ietver arī meža lauces, pārpurvotas ieplakas, un nelielus purviņus, ūdensobjektus, ceļus un citus infrastruktūras objektus, kas atrodas mežā. Meža ainavas plānošanas pēdējās tendences ir meža ekoloģiskā plānošana, kur pāriet no plānošanas mežaudžu līmenī uz plānošanu ievērojot ainavu ekoloģisko tīklojumu (ko veido ES nozīmes biotopi, bioloģiski vērtīgas mežaudzes, būtiski neietekmēti purvi un mitraines, meži aizsargjoslās gar ūdensobjektiem, purviem).</w:t>
      </w:r>
    </w:p>
    <w:p w14:paraId="1FA5F647" w14:textId="77777777" w:rsidR="00E032B6" w:rsidRPr="004826D1" w:rsidRDefault="009C0409" w:rsidP="00AE5109">
      <w:pPr>
        <w:spacing w:before="120" w:after="120"/>
        <w:jc w:val="both"/>
        <w:rPr>
          <w:rFonts w:cs="Times New Roman"/>
          <w:lang w:eastAsia="en-GB"/>
        </w:rPr>
      </w:pPr>
      <w:r w:rsidRPr="004826D1">
        <w:rPr>
          <w:rFonts w:cs="Times New Roman"/>
          <w:lang w:eastAsia="en-GB"/>
        </w:rPr>
        <w:t xml:space="preserve">Lauku ainava ir līdzsvars starp mazpārveidotu dabisku lauku ainavu un cilvēka pārveidotu mākslīgu lauku ainavu. Uzdevums ir kultūrvēsturisko ainavu vērtību (tradicionālās lauku </w:t>
      </w:r>
      <w:r w:rsidRPr="004826D1">
        <w:rPr>
          <w:rFonts w:cs="Times New Roman"/>
          <w:lang w:eastAsia="en-GB"/>
        </w:rPr>
        <w:lastRenderedPageBreak/>
        <w:t>sētas plānojums, apsaimniekošanas veidi, ēkas, akas, robežzīmes, alejas, veci augļu koki u.c.) saglabāšana mūsdienu procesos – aizaugšana, pārganīšana, pamestu saimniecību grausti, kultivētu monokultūru audzēšana.</w:t>
      </w:r>
    </w:p>
    <w:p w14:paraId="3CE5C860" w14:textId="77777777" w:rsidR="00E032B6" w:rsidRPr="004826D1" w:rsidRDefault="009C0409" w:rsidP="00AE5109">
      <w:pPr>
        <w:spacing w:before="120" w:after="120"/>
        <w:jc w:val="both"/>
        <w:rPr>
          <w:rFonts w:cs="Times New Roman"/>
          <w:lang w:eastAsia="en-GB"/>
        </w:rPr>
      </w:pPr>
      <w:r w:rsidRPr="004826D1">
        <w:rPr>
          <w:rFonts w:cs="Times New Roman"/>
          <w:lang w:eastAsia="en-GB"/>
        </w:rPr>
        <w:t>Pilsētu jeb urbāno ainavu telpu raksturo salīdzinoša blīva dzīvojamā, darījumu un industriālā apbūve pilsētās un ciemos, kā arī tehniskā infrastruktūra: industriālie objekti, transporta koridori un mezgli. Latvijas urbāno ainavu telpa pēdējo 20 gadu laikā ir paplašinājusies un izteikta urbanizācijas ietekme ir novērojama Latvijas lielāko pilsētu un ūdensobjektu tuvumā, veidojoties piepilsētu ainavai. Augstākais apbūvēto platību īpatsvars ir Pierīgā – Ādažu, Salaspils, Stopiņu, un Mārupes novados.</w:t>
      </w:r>
    </w:p>
    <w:p w14:paraId="5644E8C2" w14:textId="77777777" w:rsidR="00E032B6" w:rsidRPr="004826D1" w:rsidRDefault="009C0409" w:rsidP="00AE5109">
      <w:pPr>
        <w:spacing w:before="120" w:after="120"/>
        <w:jc w:val="both"/>
        <w:rPr>
          <w:rFonts w:cs="Times New Roman"/>
          <w:lang w:eastAsia="en-GB"/>
        </w:rPr>
      </w:pPr>
      <w:r w:rsidRPr="004826D1">
        <w:rPr>
          <w:rFonts w:cs="Times New Roman"/>
          <w:lang w:eastAsia="en-GB"/>
        </w:rPr>
        <w:t>Viens no Latvijas ekoloģiski nozīmīgākajiem ainavu kompleksiem ir Baltijas jūras un Rīgas līča piekraste, kuras ainavas daudzveidību veido eolo kāpu ainavu mežaine, smilšaino Baltijas jūras agrāko stadiju fluvioglaciālo un limnoglaciālo līdzenumu āriene un smilšaino līdzenumu mežaine. Latvijas piekrastes ainavu struktūru veido salīdzinoši mazpārveidota vide ar daudzveidīgiem dabas objektiem – liedagiem, atklātām ūdens teritorijām, upju grīvām, smilšakmens klinšu atsegumiem, stāvkrastiem, kāpām, piekrastes kāpu mežiem un pļavām, mitrainēm, sēkļiem utt. To aizsardzību nodrošina augstais ĪADT piekrastē. Vairāku pašvaldību krasta līnija pilnībā (Carnikavas novads, Dundagas novada Kolkas pagasts, Rucavas novada Rucavas pagasts vai lielākajā tās daļā (Rīga, Engures novads, Ventspils novads) ietilpst īpaši aizsargājamās dabas teritorijās (ĪADT). ĪADT aizņem 15% no Plānojuma kopējās teritorijas un gandrīz trešo daļu (30%) no piekrastes sauszemes 5 km joslas.</w:t>
      </w:r>
    </w:p>
    <w:p w14:paraId="2CA24B2C" w14:textId="77777777" w:rsidR="00E032B6" w:rsidRPr="004826D1" w:rsidRDefault="009C0409" w:rsidP="00AE5109">
      <w:pPr>
        <w:spacing w:before="120" w:after="120"/>
        <w:jc w:val="both"/>
        <w:rPr>
          <w:rFonts w:cs="Times New Roman"/>
          <w:lang w:eastAsia="en-GB"/>
        </w:rPr>
      </w:pPr>
      <w:r w:rsidRPr="004826D1">
        <w:rPr>
          <w:rFonts w:cs="Times New Roman"/>
          <w:lang w:eastAsia="en-GB"/>
        </w:rPr>
        <w:t>Bez tam Latvijā vēl tiek izdalītas vairākas vērtīgas ainavas un ainavu grupas – upju ainavas, ceļu ainavas u.c.</w:t>
      </w:r>
    </w:p>
    <w:p w14:paraId="692A91A7" w14:textId="77777777" w:rsidR="00E032B6" w:rsidRPr="004826D1" w:rsidRDefault="009C0409" w:rsidP="00AE5109">
      <w:pPr>
        <w:spacing w:before="120" w:after="120"/>
        <w:jc w:val="both"/>
        <w:rPr>
          <w:rFonts w:cs="Times New Roman"/>
          <w:lang w:eastAsia="en-GB"/>
        </w:rPr>
      </w:pPr>
      <w:r w:rsidRPr="004826D1">
        <w:rPr>
          <w:rFonts w:cs="Times New Roman"/>
          <w:lang w:eastAsia="en-GB"/>
        </w:rPr>
        <w:t>“Millennium Ecosystem Assessment” definē četras galvenās ekosistēmu pakalpojumu kategorijas. Ainavas pieder pie nemateriālajiem ekosistēmu pakalpojumiem.</w:t>
      </w:r>
    </w:p>
    <w:p w14:paraId="21229620" w14:textId="77777777" w:rsidR="007F555D" w:rsidRPr="004826D1" w:rsidRDefault="009C0409" w:rsidP="00AE5109">
      <w:pPr>
        <w:spacing w:before="120" w:after="120"/>
        <w:jc w:val="both"/>
        <w:rPr>
          <w:rFonts w:cs="Times New Roman"/>
          <w:lang w:eastAsia="en-GB"/>
        </w:rPr>
      </w:pPr>
      <w:r w:rsidRPr="004826D1">
        <w:rPr>
          <w:rFonts w:cs="Times New Roman"/>
          <w:lang w:eastAsia="en-GB"/>
        </w:rPr>
        <w:t>Nākotnē ainavu daudzveidības aizsardzība būs jāpielāgo klimata pārmaiņām. Risku novērtējumā identificētie riski ainavas vizuālās kvalitātes un vērtības izmaiņām ir temperatūras paaugstināšanās, kas ietekmētu ziemas</w:t>
      </w:r>
      <w:r w:rsidR="00E032B6" w:rsidRPr="004826D1">
        <w:rPr>
          <w:rFonts w:cs="Times New Roman"/>
          <w:lang w:eastAsia="en-GB"/>
        </w:rPr>
        <w:t xml:space="preserve"> </w:t>
      </w:r>
      <w:r w:rsidRPr="004826D1">
        <w:rPr>
          <w:rFonts w:cs="Times New Roman"/>
          <w:lang w:eastAsia="en-GB"/>
        </w:rPr>
        <w:t>sezonas ainavas un plūdu risks, kas radītu jūras krastu raksturojošu ainavu elementu (tai skaitā augstvērtīgu pludmaļu) degradāciju vai iznīcināšanu, mežsaimniecības, lauksaimniecības, dabas objektu un urbāno ainavu elementu degradāciju vai iznīcināšanu; dabas un kultūrvēsturisko vērtību degradāciju vai</w:t>
      </w:r>
      <w:r w:rsidR="00E032B6" w:rsidRPr="004826D1">
        <w:rPr>
          <w:rFonts w:cs="Times New Roman"/>
          <w:lang w:eastAsia="en-GB"/>
        </w:rPr>
        <w:t xml:space="preserve"> iznīcināšanu piekrastē. Klimata </w:t>
      </w:r>
      <w:r w:rsidRPr="004826D1">
        <w:rPr>
          <w:rFonts w:cs="Times New Roman"/>
          <w:lang w:eastAsia="en-GB"/>
        </w:rPr>
        <w:t>pārmaiņu rezultātā novērtēts, ka iespējami arī ieguvumi. Lielu plūdu gadījumā regulētās upes var atiet vecajās gultnēs, kas ainavu padarītu kvalitatīvāku, un palielinātos bioloģiskā daudzveidība un rastos papildus pārplūduši klajumi ir nepieciešami migrējošiem putniem. Ieguvums no garākas siltās sezonas būtu iespējamais stāvokļa uzlabojums sugām un biotopiem, kuri atrodas uz izplatības areāla robežas un apstākļu uzlabošanās jaunu, Latvijai neraksturīgu ES nozīmes aizsargājamu sugu ienākšanai.</w:t>
      </w:r>
    </w:p>
    <w:p w14:paraId="46E61707" w14:textId="77777777" w:rsidR="009C0409" w:rsidRPr="004826D1" w:rsidRDefault="009C0409" w:rsidP="00AE5109">
      <w:pPr>
        <w:autoSpaceDE w:val="0"/>
        <w:autoSpaceDN w:val="0"/>
        <w:adjustRightInd w:val="0"/>
        <w:spacing w:before="120" w:after="120"/>
        <w:jc w:val="both"/>
        <w:rPr>
          <w:rFonts w:cs="Times New Roman"/>
          <w:lang w:eastAsia="en-GB"/>
        </w:rPr>
      </w:pPr>
    </w:p>
    <w:p w14:paraId="040E3360" w14:textId="77777777" w:rsidR="002C188D" w:rsidRPr="004826D1" w:rsidRDefault="002C188D" w:rsidP="00AE5109">
      <w:pPr>
        <w:pStyle w:val="Heading2"/>
        <w:spacing w:before="120" w:after="120"/>
        <w:jc w:val="both"/>
        <w:rPr>
          <w:rFonts w:ascii="Times New Roman" w:hAnsi="Times New Roman"/>
          <w:lang w:val="lv-LV"/>
        </w:rPr>
      </w:pPr>
    </w:p>
    <w:p w14:paraId="2FD59675" w14:textId="77777777" w:rsidR="00EC5ADD" w:rsidRPr="004826D1" w:rsidRDefault="00EC5ADD" w:rsidP="00EC5ADD">
      <w:pPr>
        <w:pStyle w:val="Heading2"/>
        <w:jc w:val="both"/>
        <w:rPr>
          <w:rFonts w:ascii="Times New Roman" w:hAnsi="Times New Roman"/>
          <w:lang w:val="lv-LV"/>
        </w:rPr>
      </w:pPr>
      <w:bookmarkStart w:id="234" w:name="_Toc169602292"/>
      <w:r w:rsidRPr="004826D1">
        <w:rPr>
          <w:rFonts w:ascii="Times New Roman" w:hAnsi="Times New Roman"/>
          <w:lang w:val="lv-LV"/>
        </w:rPr>
        <w:t>5.</w:t>
      </w:r>
      <w:r w:rsidR="00E851B9" w:rsidRPr="004826D1">
        <w:rPr>
          <w:rFonts w:ascii="Times New Roman" w:hAnsi="Times New Roman"/>
          <w:lang w:val="lv-LV"/>
        </w:rPr>
        <w:t>9</w:t>
      </w:r>
      <w:r w:rsidRPr="004826D1">
        <w:rPr>
          <w:rFonts w:ascii="Times New Roman" w:hAnsi="Times New Roman"/>
          <w:lang w:val="lv-LV"/>
        </w:rPr>
        <w:t xml:space="preserve"> Kultūrvēsturiskie objekti</w:t>
      </w:r>
      <w:bookmarkEnd w:id="234"/>
      <w:r w:rsidRPr="004826D1">
        <w:rPr>
          <w:rFonts w:ascii="Times New Roman" w:hAnsi="Times New Roman"/>
          <w:lang w:val="lv-LV"/>
        </w:rPr>
        <w:tab/>
      </w:r>
    </w:p>
    <w:p w14:paraId="2FF9E344" w14:textId="77777777" w:rsidR="00EC5ADD" w:rsidRPr="004826D1" w:rsidRDefault="00EC5ADD" w:rsidP="00EC5ADD">
      <w:pPr>
        <w:autoSpaceDE w:val="0"/>
        <w:autoSpaceDN w:val="0"/>
        <w:adjustRightInd w:val="0"/>
        <w:jc w:val="both"/>
        <w:rPr>
          <w:rFonts w:cs="Times New Roman"/>
        </w:rPr>
      </w:pPr>
    </w:p>
    <w:p w14:paraId="20907C99" w14:textId="77777777" w:rsidR="00EC5ADD" w:rsidRPr="004826D1" w:rsidRDefault="00EC5ADD" w:rsidP="00AE5109">
      <w:pPr>
        <w:autoSpaceDE w:val="0"/>
        <w:autoSpaceDN w:val="0"/>
        <w:adjustRightInd w:val="0"/>
        <w:spacing w:before="120" w:after="120"/>
        <w:jc w:val="both"/>
        <w:rPr>
          <w:rFonts w:cs="Times New Roman"/>
          <w:szCs w:val="24"/>
        </w:rPr>
      </w:pPr>
      <w:r w:rsidRPr="004826D1">
        <w:rPr>
          <w:rFonts w:cs="Times New Roman"/>
          <w:szCs w:val="24"/>
        </w:rPr>
        <w:t>UNESCO Vispārējā deklarācijā ir uzsvērts, ka kultūras daudzveidība līdzās bioloģiskajai daudzveidībai ir cilvēces kopējais mantojums. Kultūrvēsturiskajam mantojumam un nemateriālai kultūrai ir būtiska nozīme tūrisma un lauku tūrisma attīstībā. Nemateriālā kultūra un kultūras pakalpojumu pieejamība ir viens no faktoriem, kas veicina iedzīvotāju palikšanu lauku teritorijās. Aptuveni 85% valsts aizsardzībā esošu kultūras pieminekļu atrodas privātīpašumā. Daļa kultūras pieminekļu atrodas sliktā tehniskā stāvoklī, netiek nodrošināta to uzturēšana atbilstoši pastāvošajiem noteikumiem.</w:t>
      </w:r>
    </w:p>
    <w:p w14:paraId="6208CBB4" w14:textId="77777777" w:rsidR="00EC5ADD" w:rsidRPr="004826D1" w:rsidRDefault="00EC5ADD" w:rsidP="00AE5109">
      <w:pPr>
        <w:autoSpaceDE w:val="0"/>
        <w:autoSpaceDN w:val="0"/>
        <w:adjustRightInd w:val="0"/>
        <w:spacing w:before="120" w:after="120"/>
        <w:jc w:val="both"/>
        <w:rPr>
          <w:rFonts w:cs="Times New Roman"/>
          <w:szCs w:val="24"/>
        </w:rPr>
      </w:pPr>
      <w:r w:rsidRPr="004826D1">
        <w:rPr>
          <w:rFonts w:cs="Times New Roman"/>
          <w:szCs w:val="24"/>
        </w:rPr>
        <w:lastRenderedPageBreak/>
        <w:t xml:space="preserve">Saskaņā ar </w:t>
      </w:r>
      <w:r w:rsidR="00017854" w:rsidRPr="004826D1">
        <w:rPr>
          <w:rFonts w:cs="Times New Roman"/>
          <w:szCs w:val="24"/>
        </w:rPr>
        <w:t xml:space="preserve">Nacionālā kultūras mantojuma pārvaldes </w:t>
      </w:r>
      <w:r w:rsidRPr="004826D1">
        <w:rPr>
          <w:rFonts w:cs="Times New Roman"/>
          <w:szCs w:val="24"/>
        </w:rPr>
        <w:t>datiem</w:t>
      </w:r>
      <w:r w:rsidRPr="004826D1">
        <w:rPr>
          <w:rStyle w:val="FootnoteReference"/>
          <w:szCs w:val="24"/>
        </w:rPr>
        <w:footnoteReference w:id="57"/>
      </w:r>
      <w:r w:rsidRPr="004826D1">
        <w:rPr>
          <w:rFonts w:cs="Times New Roman"/>
          <w:szCs w:val="24"/>
        </w:rPr>
        <w:t>, Valsts aizsargājamo kultūras pieminekļu sarakstā ir 8584 pieminekļi, tai skaitā:</w:t>
      </w:r>
    </w:p>
    <w:p w14:paraId="067B953B" w14:textId="77777777" w:rsidR="00EC5ADD" w:rsidRPr="004826D1" w:rsidRDefault="00EC5ADD" w:rsidP="00F2034F">
      <w:pPr>
        <w:pStyle w:val="ListParagraph1"/>
        <w:numPr>
          <w:ilvl w:val="0"/>
          <w:numId w:val="4"/>
        </w:numPr>
        <w:autoSpaceDE w:val="0"/>
        <w:autoSpaceDN w:val="0"/>
        <w:adjustRightInd w:val="0"/>
        <w:jc w:val="both"/>
        <w:rPr>
          <w:rFonts w:cs="Times New Roman"/>
          <w:sz w:val="24"/>
          <w:szCs w:val="24"/>
        </w:rPr>
      </w:pPr>
      <w:r w:rsidRPr="004826D1">
        <w:rPr>
          <w:rFonts w:cs="Times New Roman"/>
          <w:sz w:val="24"/>
          <w:szCs w:val="24"/>
        </w:rPr>
        <w:t>5183 valsts nozīmes pieminekļi (no tiem 3410 arhitektūras pieminekļi, 2492 arheoloģijas pieminekļi, 11 industriālie pieminekļi, 2494 mākslas pieminekļi, 46 pilsētbūvniecības pieminekļi, 113 vēstures pieminekļi un 18 vēsturiska notikuma vietas);</w:t>
      </w:r>
    </w:p>
    <w:p w14:paraId="4E18ADEF" w14:textId="77777777" w:rsidR="00EC5ADD" w:rsidRPr="004826D1" w:rsidRDefault="00EC5ADD" w:rsidP="00F2034F">
      <w:pPr>
        <w:pStyle w:val="ListParagraph1"/>
        <w:numPr>
          <w:ilvl w:val="0"/>
          <w:numId w:val="4"/>
        </w:numPr>
        <w:autoSpaceDE w:val="0"/>
        <w:autoSpaceDN w:val="0"/>
        <w:adjustRightInd w:val="0"/>
        <w:jc w:val="both"/>
        <w:rPr>
          <w:rFonts w:cs="Times New Roman"/>
          <w:sz w:val="24"/>
          <w:szCs w:val="24"/>
        </w:rPr>
      </w:pPr>
      <w:r w:rsidRPr="004826D1">
        <w:rPr>
          <w:rFonts w:cs="Times New Roman"/>
          <w:sz w:val="24"/>
          <w:szCs w:val="24"/>
        </w:rPr>
        <w:t>3401 vietējās nozīmes pieminekļi (no tiem 2134 arhitektūras pieminekļi, 1011 arheoloģijas pieminekļi, 1 industriālais piemineklis, 217 mākslas piemineklis, 5 pilsētbūvniecības pieminekļi, 3 vēstures pieminekļi un 3 vēsturiska notikuma vietas).</w:t>
      </w:r>
    </w:p>
    <w:p w14:paraId="23D577D4" w14:textId="77777777" w:rsidR="00EC5ADD" w:rsidRPr="004826D1" w:rsidRDefault="00EC5ADD" w:rsidP="00EC5ADD">
      <w:pPr>
        <w:autoSpaceDE w:val="0"/>
        <w:autoSpaceDN w:val="0"/>
        <w:adjustRightInd w:val="0"/>
        <w:jc w:val="both"/>
        <w:rPr>
          <w:rFonts w:cs="Times New Roman"/>
        </w:rPr>
      </w:pPr>
    </w:p>
    <w:p w14:paraId="4F62B6DD" w14:textId="77777777" w:rsidR="00A66788" w:rsidRPr="004826D1" w:rsidRDefault="00A66788" w:rsidP="00EC5ADD">
      <w:pPr>
        <w:autoSpaceDE w:val="0"/>
        <w:autoSpaceDN w:val="0"/>
        <w:adjustRightInd w:val="0"/>
        <w:jc w:val="both"/>
        <w:rPr>
          <w:rFonts w:cs="Times New Roman"/>
        </w:rPr>
      </w:pPr>
    </w:p>
    <w:p w14:paraId="190E14A1" w14:textId="77777777" w:rsidR="00A66788" w:rsidRPr="004826D1" w:rsidRDefault="00A66788" w:rsidP="00A66788">
      <w:pPr>
        <w:pStyle w:val="Heading2"/>
        <w:jc w:val="both"/>
        <w:rPr>
          <w:rFonts w:ascii="Times New Roman" w:hAnsi="Times New Roman"/>
          <w:lang w:val="lv-LV"/>
        </w:rPr>
      </w:pPr>
      <w:bookmarkStart w:id="235" w:name="_Toc169602293"/>
      <w:r w:rsidRPr="004826D1">
        <w:rPr>
          <w:rFonts w:ascii="Times New Roman" w:hAnsi="Times New Roman"/>
          <w:lang w:val="lv-LV"/>
        </w:rPr>
        <w:t>5.1</w:t>
      </w:r>
      <w:r w:rsidR="00E851B9" w:rsidRPr="004826D1">
        <w:rPr>
          <w:rFonts w:ascii="Times New Roman" w:hAnsi="Times New Roman"/>
          <w:lang w:val="lv-LV"/>
        </w:rPr>
        <w:t>0</w:t>
      </w:r>
      <w:r w:rsidRPr="004826D1">
        <w:rPr>
          <w:rFonts w:ascii="Times New Roman" w:hAnsi="Times New Roman"/>
          <w:lang w:val="lv-LV"/>
        </w:rPr>
        <w:t xml:space="preserve"> Trokšņa līmenis</w:t>
      </w:r>
      <w:bookmarkEnd w:id="235"/>
      <w:r w:rsidRPr="004826D1">
        <w:rPr>
          <w:rFonts w:ascii="Times New Roman" w:hAnsi="Times New Roman"/>
          <w:lang w:val="lv-LV"/>
        </w:rPr>
        <w:tab/>
      </w:r>
    </w:p>
    <w:p w14:paraId="4C3A1DE2" w14:textId="77777777" w:rsidR="00A66788" w:rsidRPr="004826D1" w:rsidRDefault="00A66788" w:rsidP="00A66788">
      <w:pPr>
        <w:autoSpaceDE w:val="0"/>
        <w:autoSpaceDN w:val="0"/>
        <w:adjustRightInd w:val="0"/>
        <w:jc w:val="both"/>
        <w:rPr>
          <w:rFonts w:cs="Times New Roman"/>
        </w:rPr>
      </w:pPr>
    </w:p>
    <w:p w14:paraId="6C99462F" w14:textId="77777777" w:rsidR="00A66788" w:rsidRDefault="00A66788" w:rsidP="007700BC">
      <w:pPr>
        <w:autoSpaceDE w:val="0"/>
        <w:autoSpaceDN w:val="0"/>
        <w:adjustRightInd w:val="0"/>
        <w:spacing w:before="120" w:after="120"/>
        <w:jc w:val="both"/>
        <w:rPr>
          <w:rFonts w:cs="Times New Roman"/>
          <w:szCs w:val="24"/>
        </w:rPr>
      </w:pPr>
      <w:r w:rsidRPr="004826D1">
        <w:rPr>
          <w:rFonts w:cs="Times New Roman"/>
          <w:color w:val="000000"/>
          <w:szCs w:val="24"/>
        </w:rPr>
        <w:t xml:space="preserve">MK 07.01.2014. noteikumos Nr.16 "Trokšņa novērtēšanas un pārvaldības kārtība" noteikto trokšņa robežlielumu </w:t>
      </w:r>
      <w:r w:rsidRPr="004826D1">
        <w:rPr>
          <w:rFonts w:cs="Times New Roman"/>
          <w:szCs w:val="24"/>
        </w:rPr>
        <w:t>pārsniegumi ir viena no raksturīgākajām nelabvēlīgajām ietekmēm Latvijas lielākajās pilsētās, kā arī gar valsts galvenajiem autoceļiem un dzelzceļu, tostarp jo īpaši dzelzceļa posmos caur blīvi apdzīvotām vietām, kā arī lokāli ap starptautisko lidostu “Rīga”. Praktiski visu šo trokšņa problēmu rada transports – autosatiksme, vilcieni un lidmašīnas.</w:t>
      </w:r>
      <w:r w:rsidR="00372C5D" w:rsidRPr="004826D1">
        <w:rPr>
          <w:rFonts w:cs="Times New Roman"/>
          <w:szCs w:val="24"/>
        </w:rPr>
        <w:t xml:space="preserve"> Citu vērā ņemamu trokšņa avotu Latvijas ārpilsētas vidē patlaban gandrīz nav. Samērā jauns trokšņa traucējuma avots Latvijas ārpilsētas vidē ir vēja elektrostacijas, kuru ieguldījums Latvijas mērogā pagaidām ir uzskatāms par nulli.</w:t>
      </w:r>
    </w:p>
    <w:p w14:paraId="4F26662B" w14:textId="77777777" w:rsidR="007700BC" w:rsidRPr="004826D1" w:rsidRDefault="007700BC" w:rsidP="007700BC">
      <w:pPr>
        <w:autoSpaceDE w:val="0"/>
        <w:autoSpaceDN w:val="0"/>
        <w:adjustRightInd w:val="0"/>
        <w:spacing w:before="120" w:after="120"/>
        <w:jc w:val="both"/>
        <w:rPr>
          <w:rFonts w:cs="Times New Roman"/>
          <w:szCs w:val="24"/>
        </w:rPr>
      </w:pPr>
      <w:r>
        <w:rPr>
          <w:rFonts w:cs="Times New Roman"/>
          <w:szCs w:val="24"/>
        </w:rPr>
        <w:t>Problēmas 2023. gada 3. novembrī minētajos noteikumos stājušies spēkā grozījumi, kas paaugstina satiksmes radītā trokšņa robežlielumus par 10 dBA, tādējādi būtiski sašaurinot trokšņa līmeņa pārsniegumu zonas ap satiksmes trasēm.</w:t>
      </w:r>
    </w:p>
    <w:p w14:paraId="0F2A6B72" w14:textId="77777777" w:rsidR="00A66788" w:rsidRPr="004826D1" w:rsidRDefault="00A66788" w:rsidP="00EC5ADD">
      <w:pPr>
        <w:autoSpaceDE w:val="0"/>
        <w:autoSpaceDN w:val="0"/>
        <w:adjustRightInd w:val="0"/>
        <w:jc w:val="both"/>
        <w:rPr>
          <w:rFonts w:cs="Times New Roman"/>
        </w:rPr>
      </w:pPr>
    </w:p>
    <w:p w14:paraId="6968B680" w14:textId="77777777" w:rsidR="00363901" w:rsidRPr="004826D1" w:rsidRDefault="00363901" w:rsidP="00EC5ADD">
      <w:pPr>
        <w:pStyle w:val="Heading2"/>
        <w:spacing w:after="120"/>
        <w:jc w:val="both"/>
        <w:rPr>
          <w:rFonts w:ascii="Times New Roman" w:hAnsi="Times New Roman"/>
          <w:lang w:val="lv-LV"/>
        </w:rPr>
      </w:pPr>
    </w:p>
    <w:p w14:paraId="712E2E47" w14:textId="77777777" w:rsidR="00F524F7" w:rsidRPr="004826D1" w:rsidRDefault="00EC5ADD" w:rsidP="00795754">
      <w:pPr>
        <w:pStyle w:val="Heading1"/>
        <w:spacing w:after="120"/>
        <w:rPr>
          <w:rFonts w:ascii="Times New Roman" w:hAnsi="Times New Roman"/>
          <w:lang w:val="lv-LV"/>
        </w:rPr>
      </w:pPr>
      <w:r w:rsidRPr="004826D1">
        <w:rPr>
          <w:rFonts w:ascii="Times New Roman" w:hAnsi="Times New Roman"/>
          <w:lang w:val="lv-LV"/>
        </w:rPr>
        <w:br w:type="page"/>
      </w:r>
      <w:bookmarkStart w:id="236" w:name="_Toc169602294"/>
      <w:bookmarkStart w:id="237" w:name="_Toc4430114"/>
      <w:bookmarkStart w:id="238" w:name="_Toc4488348"/>
      <w:r w:rsidR="0012774A">
        <w:rPr>
          <w:rFonts w:ascii="Times New Roman" w:hAnsi="Times New Roman"/>
          <w:lang w:val="lv-LV"/>
        </w:rPr>
        <w:lastRenderedPageBreak/>
        <w:t>6</w:t>
      </w:r>
      <w:r w:rsidR="00F524F7" w:rsidRPr="004826D1">
        <w:rPr>
          <w:rFonts w:ascii="Times New Roman" w:hAnsi="Times New Roman"/>
          <w:lang w:val="lv-LV"/>
        </w:rPr>
        <w:t xml:space="preserve">. PLĀNA </w:t>
      </w:r>
      <w:r w:rsidR="00795754">
        <w:rPr>
          <w:rFonts w:ascii="Times New Roman" w:hAnsi="Times New Roman"/>
          <w:lang w:val="lv-LV"/>
        </w:rPr>
        <w:t xml:space="preserve">ĪSTENOŠANAS </w:t>
      </w:r>
      <w:r w:rsidR="00F524F7" w:rsidRPr="004826D1">
        <w:rPr>
          <w:rFonts w:ascii="Times New Roman" w:hAnsi="Times New Roman"/>
          <w:lang w:val="lv-LV"/>
        </w:rPr>
        <w:t>PAREDZAMĀ IETEKME UZ VIDI</w:t>
      </w:r>
      <w:bookmarkEnd w:id="236"/>
    </w:p>
    <w:p w14:paraId="13B25B92" w14:textId="77777777" w:rsidR="00F524F7" w:rsidRDefault="00F524F7" w:rsidP="00F524F7">
      <w:pPr>
        <w:autoSpaceDE w:val="0"/>
        <w:autoSpaceDN w:val="0"/>
        <w:adjustRightInd w:val="0"/>
        <w:spacing w:after="120"/>
        <w:jc w:val="both"/>
        <w:rPr>
          <w:rFonts w:cs="Times New Roman"/>
          <w:szCs w:val="24"/>
          <w:lang w:eastAsia="lv-LV"/>
        </w:rPr>
      </w:pPr>
    </w:p>
    <w:p w14:paraId="3C6FBA98" w14:textId="77777777" w:rsidR="00E910FB" w:rsidRDefault="00E910FB" w:rsidP="00F524F7">
      <w:pPr>
        <w:autoSpaceDE w:val="0"/>
        <w:autoSpaceDN w:val="0"/>
        <w:adjustRightInd w:val="0"/>
        <w:spacing w:after="120"/>
        <w:jc w:val="both"/>
        <w:rPr>
          <w:rFonts w:cs="Times New Roman"/>
          <w:szCs w:val="24"/>
          <w:lang w:eastAsia="lv-LV"/>
        </w:rPr>
      </w:pPr>
    </w:p>
    <w:p w14:paraId="255628CB" w14:textId="77777777" w:rsidR="00E910FB" w:rsidRDefault="00E910FB" w:rsidP="00F524F7">
      <w:pPr>
        <w:autoSpaceDE w:val="0"/>
        <w:autoSpaceDN w:val="0"/>
        <w:adjustRightInd w:val="0"/>
        <w:spacing w:after="120"/>
        <w:jc w:val="both"/>
        <w:rPr>
          <w:rFonts w:cs="Times New Roman"/>
          <w:szCs w:val="24"/>
          <w:lang w:eastAsia="lv-LV"/>
        </w:rPr>
      </w:pPr>
    </w:p>
    <w:p w14:paraId="7567C9D6" w14:textId="77777777" w:rsidR="00C31B25" w:rsidRPr="004826D1" w:rsidRDefault="0012774A" w:rsidP="00C31B25">
      <w:pPr>
        <w:pStyle w:val="Heading2"/>
        <w:spacing w:after="120"/>
        <w:jc w:val="both"/>
        <w:rPr>
          <w:rFonts w:ascii="Times New Roman" w:hAnsi="Times New Roman"/>
          <w:lang w:val="lv-LV"/>
        </w:rPr>
      </w:pPr>
      <w:bookmarkStart w:id="239" w:name="_Toc169602295"/>
      <w:r>
        <w:rPr>
          <w:rFonts w:ascii="Times New Roman" w:hAnsi="Times New Roman"/>
          <w:lang w:val="lv-LV"/>
        </w:rPr>
        <w:t>6</w:t>
      </w:r>
      <w:r w:rsidR="00651D33" w:rsidRPr="004826D1">
        <w:rPr>
          <w:rFonts w:ascii="Times New Roman" w:hAnsi="Times New Roman"/>
          <w:lang w:val="lv-LV"/>
        </w:rPr>
        <w:t xml:space="preserve">.1 </w:t>
      </w:r>
      <w:bookmarkStart w:id="240" w:name="_Toc4430121"/>
      <w:bookmarkStart w:id="241" w:name="_Toc4488355"/>
      <w:r w:rsidR="00C31B25" w:rsidRPr="004826D1">
        <w:rPr>
          <w:rFonts w:ascii="Times New Roman" w:hAnsi="Times New Roman"/>
          <w:lang w:val="lv-LV"/>
        </w:rPr>
        <w:t>Bioloģiskā daudzveidība, īpaši aizsargājamās dabas teritorijas, sugas un biotopi</w:t>
      </w:r>
      <w:bookmarkEnd w:id="240"/>
      <w:bookmarkEnd w:id="241"/>
      <w:bookmarkEnd w:id="239"/>
    </w:p>
    <w:p w14:paraId="29B70BA2" w14:textId="0AC016EC" w:rsidR="00C31B25" w:rsidRDefault="00C31B25" w:rsidP="00C31B25">
      <w:pPr>
        <w:spacing w:before="120" w:after="120"/>
        <w:jc w:val="both"/>
        <w:rPr>
          <w:rFonts w:cs="Times New Roman"/>
          <w:color w:val="000000"/>
          <w:szCs w:val="24"/>
        </w:rPr>
      </w:pPr>
      <w:r w:rsidRPr="004826D1">
        <w:rPr>
          <w:rFonts w:cs="Times New Roman"/>
        </w:rPr>
        <w:t xml:space="preserve">Plāns paredz līdz 2030. gadam uzstādīt </w:t>
      </w:r>
      <w:r w:rsidR="008E4754">
        <w:rPr>
          <w:rFonts w:cs="Times New Roman"/>
        </w:rPr>
        <w:t xml:space="preserve">sauszemē </w:t>
      </w:r>
      <w:r w:rsidRPr="004826D1">
        <w:rPr>
          <w:rFonts w:cs="Times New Roman"/>
          <w:color w:val="000000"/>
          <w:szCs w:val="24"/>
        </w:rPr>
        <w:t xml:space="preserve">VES ar jaudu </w:t>
      </w:r>
      <w:r w:rsidR="00423147" w:rsidRPr="004826D1">
        <w:rPr>
          <w:rFonts w:cs="Times New Roman"/>
          <w:color w:val="000000"/>
          <w:szCs w:val="24"/>
        </w:rPr>
        <w:t>2-10 MW, kopumā 100-170 VES</w:t>
      </w:r>
      <w:r w:rsidR="008E4754">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putnus un sikspārņus. </w:t>
      </w:r>
      <w:r w:rsidR="00AB1E73" w:rsidRPr="004826D1">
        <w:rPr>
          <w:rFonts w:cs="Times New Roman"/>
          <w:color w:val="000000"/>
          <w:szCs w:val="24"/>
        </w:rPr>
        <w:t xml:space="preserve">Sakarā ar jaudas un izmēru korelāciju, </w:t>
      </w:r>
      <w:r w:rsidRPr="004826D1">
        <w:rPr>
          <w:rFonts w:cs="Times New Roman"/>
          <w:color w:val="000000"/>
          <w:szCs w:val="24"/>
        </w:rPr>
        <w:t xml:space="preserve">VES rotoru </w:t>
      </w:r>
      <w:r w:rsidR="00D17E26" w:rsidRPr="004826D1">
        <w:rPr>
          <w:rFonts w:cs="Times New Roman"/>
          <w:color w:val="000000"/>
          <w:szCs w:val="24"/>
        </w:rPr>
        <w:t xml:space="preserve">kopējais </w:t>
      </w:r>
      <w:r w:rsidRPr="004826D1">
        <w:rPr>
          <w:rFonts w:cs="Times New Roman"/>
          <w:color w:val="000000"/>
          <w:szCs w:val="24"/>
        </w:rPr>
        <w:t>aizslaucītais laukums (</w:t>
      </w:r>
      <w:r w:rsidRPr="004826D1">
        <w:rPr>
          <w:rFonts w:cs="Times New Roman"/>
          <w:i/>
          <w:color w:val="000000"/>
          <w:szCs w:val="24"/>
        </w:rPr>
        <w:t>swept area</w:t>
      </w:r>
      <w:r w:rsidRPr="004826D1">
        <w:rPr>
          <w:rFonts w:cs="Times New Roman"/>
          <w:color w:val="000000"/>
          <w:szCs w:val="24"/>
        </w:rPr>
        <w:t xml:space="preserve">) </w:t>
      </w:r>
      <w:r w:rsidR="00AB1E73" w:rsidRPr="004826D1">
        <w:rPr>
          <w:rFonts w:cs="Times New Roman"/>
          <w:color w:val="000000"/>
          <w:szCs w:val="24"/>
        </w:rPr>
        <w:t xml:space="preserve">ir apmēram proporcionāls </w:t>
      </w:r>
      <w:r w:rsidR="00D17E26" w:rsidRPr="004826D1">
        <w:rPr>
          <w:rFonts w:cs="Times New Roman"/>
          <w:color w:val="000000"/>
          <w:szCs w:val="24"/>
        </w:rPr>
        <w:t xml:space="preserve">kopējai </w:t>
      </w:r>
      <w:r w:rsidR="00AB1E73" w:rsidRPr="004826D1">
        <w:rPr>
          <w:rFonts w:cs="Times New Roman"/>
          <w:color w:val="000000"/>
          <w:szCs w:val="24"/>
        </w:rPr>
        <w:t xml:space="preserve">jaudai neatkarīgi no tā, vai to veido lielāks skaits mazāku VES vai mazāks skaits lielāku VES, tāpēc aprēķinu ērtībām lietots pieņēmums, ka visas </w:t>
      </w:r>
      <w:r w:rsidR="008E4754">
        <w:rPr>
          <w:rFonts w:cs="Times New Roman"/>
          <w:color w:val="000000"/>
          <w:szCs w:val="24"/>
        </w:rPr>
        <w:t xml:space="preserve">sauszemes </w:t>
      </w:r>
      <w:r w:rsidR="00AB1E73" w:rsidRPr="004826D1">
        <w:rPr>
          <w:rFonts w:cs="Times New Roman"/>
          <w:color w:val="000000"/>
          <w:szCs w:val="24"/>
        </w:rPr>
        <w:t xml:space="preserve">VES kopumā atbilst 100 VES ar jaudu 8 MW katra. </w:t>
      </w:r>
      <w:r w:rsidR="00491904">
        <w:rPr>
          <w:rFonts w:cs="Times New Roman"/>
          <w:color w:val="000000"/>
          <w:szCs w:val="24"/>
        </w:rPr>
        <w:t>Pieņemot, ka šādas 100 VES veidos 10 parki pa 10 VES, katrs 10 km diametrā un ap katru vēl 5 km rādiusā ir traucēta putnu dzīve (piemēram, lielo plēsīgo putnu droša ligzdošana), tātad katra radītā traucējuma zona ir 300 km², kopā – 3000 km².</w:t>
      </w:r>
      <w:r w:rsidRPr="004826D1">
        <w:rPr>
          <w:rFonts w:cs="Times New Roman"/>
          <w:color w:val="000000"/>
          <w:szCs w:val="24"/>
        </w:rPr>
        <w:t xml:space="preserve"> Salīdzinot ar Latvijas teritoriju 64 </w:t>
      </w:r>
      <w:r w:rsidR="004E5239">
        <w:rPr>
          <w:rFonts w:cs="Times New Roman"/>
          <w:color w:val="000000"/>
          <w:szCs w:val="24"/>
        </w:rPr>
        <w:t>6</w:t>
      </w:r>
      <w:r w:rsidRPr="004826D1">
        <w:rPr>
          <w:rFonts w:cs="Times New Roman"/>
          <w:color w:val="000000"/>
          <w:szCs w:val="24"/>
        </w:rPr>
        <w:t xml:space="preserve">00 km², tas ir </w:t>
      </w:r>
      <w:r w:rsidR="00491904">
        <w:rPr>
          <w:rFonts w:cs="Times New Roman"/>
          <w:color w:val="000000"/>
          <w:szCs w:val="24"/>
        </w:rPr>
        <w:t>4</w:t>
      </w:r>
      <w:r w:rsidRPr="004826D1">
        <w:rPr>
          <w:rFonts w:cs="Times New Roman"/>
          <w:color w:val="000000"/>
          <w:szCs w:val="24"/>
        </w:rPr>
        <w:t>,</w:t>
      </w:r>
      <w:r w:rsidR="00491904">
        <w:rPr>
          <w:rFonts w:cs="Times New Roman"/>
          <w:color w:val="000000"/>
          <w:szCs w:val="24"/>
        </w:rPr>
        <w:t>6</w:t>
      </w:r>
      <w:r w:rsidRPr="004826D1">
        <w:rPr>
          <w:rFonts w:cs="Times New Roman"/>
          <w:color w:val="000000"/>
          <w:szCs w:val="24"/>
        </w:rPr>
        <w:t> %. Šāda apmēra kaitējums lidojošo mugurkaulnieku dzīvesvidei Latvijas mērogā uzskatāms par nebūtisku, ja vien VES parki tiek veidoti vietās, kas nav nozīmīgas putnu un sikspārņu vairošanās, barošanās un migrācijas vietas</w:t>
      </w:r>
      <w:r w:rsidR="00A86FE0">
        <w:rPr>
          <w:rFonts w:cs="Times New Roman"/>
          <w:color w:val="000000"/>
          <w:szCs w:val="24"/>
        </w:rPr>
        <w:t>:</w:t>
      </w:r>
      <w:r w:rsidRPr="004826D1">
        <w:rPr>
          <w:rFonts w:cs="Times New Roman"/>
          <w:color w:val="000000"/>
          <w:szCs w:val="24"/>
        </w:rPr>
        <w:t xml:space="preserve"> katram projektam tiek veikts ietekmes uz vidi novērtējums un projekts īstenots tikai būtiskas negatīvas ietekmes nekonstatēšanas gadījumā</w:t>
      </w:r>
      <w:r w:rsidR="00491904">
        <w:rPr>
          <w:rFonts w:cs="Times New Roman"/>
          <w:color w:val="000000"/>
          <w:szCs w:val="24"/>
        </w:rPr>
        <w:t>, tādējādi rādītājs 4,6 % no visas Latvijas teritorijas neraksturo kaitējuma īpatsvaru, jo šī daļa tiek izvietota teritorijās, kurās VES rada pēc iespējas mazāku kaitējumu (piem., nav piemērotas lielo plēsīgo putnu ligzdošanai)</w:t>
      </w:r>
      <w:r w:rsidRPr="004826D1">
        <w:rPr>
          <w:rFonts w:cs="Times New Roman"/>
          <w:color w:val="000000"/>
          <w:szCs w:val="24"/>
        </w:rPr>
        <w:t>.</w:t>
      </w:r>
      <w:r w:rsidR="004E5239">
        <w:rPr>
          <w:rFonts w:cs="Times New Roman"/>
          <w:color w:val="000000"/>
          <w:szCs w:val="24"/>
        </w:rPr>
        <w:t xml:space="preserve"> Vēl jo vairāk nebūtisks visas Latvijas mērogā tas ir tāpēc, ka nav pierādīta kaitējuma visiem pārējiem bioloģiskās daudzveidības (floras un nelidojošās faunas) komponentiem, tikai lidojošajai faunai</w:t>
      </w:r>
      <w:r w:rsidR="00A86FE0">
        <w:rPr>
          <w:rFonts w:cs="Times New Roman"/>
          <w:color w:val="000000"/>
          <w:szCs w:val="24"/>
        </w:rPr>
        <w:t xml:space="preserve"> kā vienam no daudzajiem komponentiem</w:t>
      </w:r>
      <w:r w:rsidR="004E5239">
        <w:rPr>
          <w:rFonts w:cs="Times New Roman"/>
          <w:color w:val="000000"/>
          <w:szCs w:val="24"/>
        </w:rPr>
        <w:t>.</w:t>
      </w:r>
    </w:p>
    <w:p w14:paraId="6E46071D" w14:textId="45D5923F" w:rsidR="00B304DA" w:rsidRPr="004826D1" w:rsidRDefault="00A34349" w:rsidP="00B304DA">
      <w:pPr>
        <w:spacing w:before="120" w:after="120"/>
        <w:jc w:val="both"/>
        <w:rPr>
          <w:rFonts w:cs="Times New Roman"/>
          <w:color w:val="000000"/>
          <w:szCs w:val="24"/>
        </w:rPr>
      </w:pPr>
      <w:r>
        <w:rPr>
          <w:rFonts w:cs="Times New Roman"/>
          <w:color w:val="000000"/>
          <w:szCs w:val="24"/>
        </w:rPr>
        <w:t xml:space="preserve">Savukārt atkrastes VES jūrā (kurām augšminētos apjomus plānots sasniegt jau ievērojami pēc pašreizējā plāna termiņa 2030. gadā) ietekme uz putniem jānovērš līdz minimumam ar konkrēto vēja parku ietekmes uz vidi novērtējumiem, nepieļaujot to būvi putnu migrācijas ceļos. Attiecībā uz atkrastes VES ietekmi uz zemūdens dabas vērtībām, </w:t>
      </w:r>
      <w:r w:rsidR="00B304DA" w:rsidRPr="004826D1">
        <w:rPr>
          <w:rFonts w:cs="Times New Roman"/>
          <w:color w:val="000000"/>
          <w:szCs w:val="24"/>
        </w:rPr>
        <w:t>“Jūras plānojuma 2030” stratēģiskajā ietekmes uz vidi novērtējumā</w:t>
      </w:r>
      <w:r w:rsidR="00B304DA" w:rsidRPr="004826D1">
        <w:rPr>
          <w:rStyle w:val="FootnoteReference"/>
          <w:szCs w:val="24"/>
        </w:rPr>
        <w:footnoteReference w:id="58"/>
      </w:r>
      <w:r w:rsidR="00B304DA" w:rsidRPr="004826D1">
        <w:rPr>
          <w:rFonts w:cs="Times New Roman"/>
          <w:color w:val="000000"/>
          <w:szCs w:val="24"/>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0F8BC565" w14:textId="7F3608AE" w:rsidR="00391E6D" w:rsidRDefault="00C31B25" w:rsidP="00391E6D">
      <w:pPr>
        <w:spacing w:before="120" w:after="120"/>
        <w:jc w:val="both"/>
        <w:rPr>
          <w:rFonts w:cs="Times New Roman"/>
          <w:szCs w:val="24"/>
          <w:lang w:eastAsia="lv-LV"/>
        </w:rPr>
      </w:pPr>
      <w:r w:rsidRPr="004826D1">
        <w:rPr>
          <w:rFonts w:cs="Times New Roman"/>
          <w:szCs w:val="24"/>
          <w:lang w:eastAsia="lv-LV"/>
        </w:rPr>
        <w:t>Kaut arī Plāns paredz cietās biomasas apjoma pieaugumu enerģijas galapatēriņā, nav paredzams tiešs cietās biomasas ieguves apjoma pieaugums ar mežu izciršanu: Latvijā pietiek līdz šim nepietiekami izmantotas nedzīvas biomasas</w:t>
      </w:r>
      <w:r w:rsidR="00FB513E" w:rsidRPr="004826D1">
        <w:rPr>
          <w:rStyle w:val="FootnoteReference"/>
          <w:szCs w:val="24"/>
        </w:rPr>
        <w:footnoteReference w:id="59"/>
      </w:r>
      <w:r w:rsidRPr="004826D1">
        <w:rPr>
          <w:rFonts w:cs="Times New Roman"/>
          <w:szCs w:val="24"/>
          <w:lang w:eastAsia="lv-LV"/>
        </w:rPr>
        <w:t>, un pieaugums paredzēts tieši uz tās rēķina, nevis uz speciāli papildus iegūstamas dzīvas biomasas rēķina, kas izraisītu ietekmi uz biotopiem, sugām un bioloģisko daudzveidību.</w:t>
      </w:r>
      <w:r w:rsidR="00391E6D" w:rsidRPr="004826D1">
        <w:rPr>
          <w:rFonts w:cs="Times New Roman"/>
          <w:szCs w:val="24"/>
          <w:lang w:eastAsia="lv-LV"/>
        </w:rPr>
        <w:t xml:space="preserve"> Latvijā ir lielas kurināmās koksnes rezerves, un tās ražošanas apjomu var palielināt vairākkārt, nemainot normatīvo bāzi un neietekmējot vidi nelabvēlīgi. Pieaugot kurināmā cenai, šo koksni jebkurā gadījumā iegūs un pārdos: Plāna pasākumi var tikai sekmēt to, ka to vairāk pirks vietēji</w:t>
      </w:r>
      <w:r w:rsidR="00CF5139">
        <w:rPr>
          <w:rFonts w:cs="Times New Roman"/>
          <w:szCs w:val="24"/>
          <w:lang w:eastAsia="lv-LV"/>
        </w:rPr>
        <w:t>e patērētāji, nevis ārzemnieki.</w:t>
      </w:r>
    </w:p>
    <w:p w14:paraId="6F804F8D" w14:textId="26D2461A" w:rsidR="00BC0483" w:rsidRPr="004826D1" w:rsidRDefault="00CF5139" w:rsidP="00BC0483">
      <w:pPr>
        <w:spacing w:before="120" w:after="120"/>
        <w:jc w:val="both"/>
        <w:rPr>
          <w:rFonts w:cs="Times New Roman"/>
          <w:szCs w:val="24"/>
          <w:lang w:eastAsia="lv-LV"/>
        </w:rPr>
      </w:pPr>
      <w:r>
        <w:rPr>
          <w:rFonts w:cs="Times New Roman"/>
          <w:szCs w:val="24"/>
          <w:lang w:eastAsia="lv-LV"/>
        </w:rPr>
        <w:lastRenderedPageBreak/>
        <w:t xml:space="preserve">Savukārt </w:t>
      </w:r>
      <w:r w:rsidR="00BC0483">
        <w:rPr>
          <w:rFonts w:cs="Times New Roman"/>
          <w:szCs w:val="24"/>
          <w:lang w:eastAsia="lv-LV"/>
        </w:rPr>
        <w:t xml:space="preserve">rīcībpolitikām </w:t>
      </w:r>
      <w:r w:rsidR="00BC0483" w:rsidRPr="000E60E0">
        <w:rPr>
          <w:rFonts w:cs="Times New Roman"/>
          <w:szCs w:val="24"/>
          <w:lang w:eastAsia="lv-LV"/>
        </w:rPr>
        <w:t>ZIZIMM</w:t>
      </w:r>
      <w:r w:rsidR="00BC0483">
        <w:rPr>
          <w:rFonts w:cs="Times New Roman"/>
          <w:szCs w:val="24"/>
          <w:lang w:eastAsia="lv-LV"/>
        </w:rPr>
        <w:t xml:space="preserve"> sektorā paredzama gan pozitīva, gan negatīva ietekme uz meža resursiem, tomēr pozitīvā ir acīmredzamā pārsvarā  (skat. Pielikumu).</w:t>
      </w:r>
      <w:r w:rsidR="00977D79">
        <w:rPr>
          <w:rFonts w:cs="Times New Roman"/>
          <w:szCs w:val="24"/>
          <w:lang w:eastAsia="lv-LV"/>
        </w:rPr>
        <w:t xml:space="preserve"> Pēc nosacītā punktu vērtējuma – pozitīvās vai negatīvās ietekmes skartā platība attiecībā pret visu </w:t>
      </w:r>
      <w:r w:rsidR="00977D79" w:rsidRPr="00977D79">
        <w:rPr>
          <w:rFonts w:cs="Times New Roman"/>
          <w:szCs w:val="24"/>
          <w:lang w:eastAsia="lv-LV"/>
        </w:rPr>
        <w:t>ZIZIMM rīcībpolitiku kopējā rezultatīvā rādītāja</w:t>
      </w:r>
      <w:r w:rsidR="00D5010D">
        <w:rPr>
          <w:rFonts w:cs="Times New Roman"/>
          <w:szCs w:val="24"/>
          <w:lang w:eastAsia="lv-LV"/>
        </w:rPr>
        <w:t xml:space="preserve"> platību – šīs pozitīvās ietekmes pārsvars aptuveni atbilst iepriekš aplūkotajai negatīvajai ietekmei uz lidojošo faunu, un kopumā Plāna ietekme uz bioloģisko daudzveidību jāvērtē kā neviennozīmīga: nav nosakāms pozitīvās vai negatīvās ietekmes pārsvars.</w:t>
      </w:r>
    </w:p>
    <w:p w14:paraId="00206FDD" w14:textId="6EABC192" w:rsidR="00EA2A07" w:rsidRPr="004826D1" w:rsidRDefault="00977D79" w:rsidP="00C31B25">
      <w:pPr>
        <w:spacing w:before="120" w:after="120"/>
        <w:jc w:val="both"/>
        <w:rPr>
          <w:rFonts w:cs="Times New Roman"/>
          <w:szCs w:val="24"/>
          <w:lang w:eastAsia="lv-LV"/>
        </w:rPr>
      </w:pPr>
      <w:r>
        <w:rPr>
          <w:rFonts w:cs="Times New Roman"/>
          <w:szCs w:val="24"/>
          <w:lang w:eastAsia="lv-LV"/>
        </w:rPr>
        <w:t>N</w:t>
      </w:r>
      <w:r w:rsidR="00EA2A07" w:rsidRPr="004826D1">
        <w:rPr>
          <w:rFonts w:cs="Times New Roman"/>
          <w:szCs w:val="24"/>
          <w:lang w:eastAsia="lv-LV"/>
        </w:rPr>
        <w:t xml:space="preserve">eliels pozitīvs potenciāls ir </w:t>
      </w:r>
      <w:r>
        <w:rPr>
          <w:rFonts w:cs="Times New Roman"/>
          <w:szCs w:val="24"/>
          <w:lang w:eastAsia="lv-LV"/>
        </w:rPr>
        <w:t xml:space="preserve">arī </w:t>
      </w:r>
      <w:r w:rsidR="00EA2A07" w:rsidRPr="004826D1">
        <w:rPr>
          <w:rFonts w:cs="Times New Roman"/>
          <w:szCs w:val="24"/>
          <w:lang w:eastAsia="lv-LV"/>
        </w:rPr>
        <w:t>atkritumu un notekūdeņu apsaimniekošanas efektivitātes uzlabošanai, tomēr Plāna periodā tā vēl praktiski neizpaudīsies.</w:t>
      </w:r>
    </w:p>
    <w:p w14:paraId="77701F4A" w14:textId="6D725510" w:rsidR="001A19B7" w:rsidRPr="004826D1" w:rsidRDefault="001A19B7" w:rsidP="001A19B7">
      <w:pPr>
        <w:spacing w:after="120"/>
        <w:ind w:firstLine="720"/>
        <w:jc w:val="both"/>
        <w:rPr>
          <w:i/>
          <w:u w:val="single"/>
          <w:lang w:eastAsia="lv-LV"/>
        </w:rPr>
      </w:pPr>
      <w:r w:rsidRPr="004826D1">
        <w:rPr>
          <w:i/>
          <w:u w:val="single"/>
          <w:lang w:eastAsia="lv-LV"/>
        </w:rPr>
        <w:t xml:space="preserve">Vērtējums: </w:t>
      </w:r>
      <w:r w:rsidR="00D5010D">
        <w:rPr>
          <w:i/>
          <w:u w:val="single"/>
          <w:lang w:eastAsia="lv-LV"/>
        </w:rPr>
        <w:t>0</w:t>
      </w:r>
    </w:p>
    <w:p w14:paraId="236D47F5" w14:textId="77777777" w:rsidR="001A19B7" w:rsidRPr="004826D1" w:rsidRDefault="001A19B7" w:rsidP="00C31B25">
      <w:pPr>
        <w:spacing w:before="120" w:after="120"/>
        <w:jc w:val="both"/>
        <w:rPr>
          <w:rFonts w:cs="Times New Roman"/>
          <w:szCs w:val="24"/>
          <w:lang w:eastAsia="lv-LV"/>
        </w:rPr>
      </w:pPr>
    </w:p>
    <w:p w14:paraId="326E3D6C" w14:textId="77777777" w:rsidR="001A55D7" w:rsidRPr="004826D1" w:rsidRDefault="001A55D7" w:rsidP="00C31B25">
      <w:pPr>
        <w:spacing w:before="120" w:after="120"/>
        <w:jc w:val="both"/>
        <w:rPr>
          <w:rFonts w:cs="Times New Roman"/>
          <w:szCs w:val="24"/>
          <w:lang w:eastAsia="lv-LV"/>
        </w:rPr>
      </w:pPr>
    </w:p>
    <w:p w14:paraId="4A3733A6" w14:textId="77777777" w:rsidR="00651D33" w:rsidRPr="004826D1" w:rsidRDefault="0012774A" w:rsidP="00651D33">
      <w:pPr>
        <w:pStyle w:val="Heading2"/>
        <w:spacing w:after="120"/>
        <w:jc w:val="both"/>
        <w:rPr>
          <w:rFonts w:ascii="Times New Roman" w:hAnsi="Times New Roman"/>
          <w:lang w:val="lv-LV"/>
        </w:rPr>
      </w:pPr>
      <w:bookmarkStart w:id="242" w:name="_Toc169602296"/>
      <w:r>
        <w:rPr>
          <w:rFonts w:ascii="Times New Roman" w:hAnsi="Times New Roman"/>
          <w:lang w:val="lv-LV"/>
        </w:rPr>
        <w:t>6</w:t>
      </w:r>
      <w:r w:rsidR="00651D33" w:rsidRPr="004826D1">
        <w:rPr>
          <w:rFonts w:ascii="Times New Roman" w:hAnsi="Times New Roman"/>
          <w:lang w:val="lv-LV"/>
        </w:rPr>
        <w:t>.2 Meža resursi</w:t>
      </w:r>
      <w:bookmarkEnd w:id="242"/>
      <w:r w:rsidR="00651D33" w:rsidRPr="004826D1">
        <w:rPr>
          <w:rFonts w:ascii="Times New Roman" w:hAnsi="Times New Roman"/>
          <w:lang w:val="lv-LV"/>
        </w:rPr>
        <w:t xml:space="preserve"> </w:t>
      </w:r>
    </w:p>
    <w:p w14:paraId="60DD59C9" w14:textId="428AC535" w:rsidR="00E44DD4" w:rsidRDefault="00E44DD4" w:rsidP="00E44DD4">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w:t>
      </w:r>
      <w:r>
        <w:rPr>
          <w:rFonts w:cs="Times New Roman"/>
          <w:color w:val="000000"/>
          <w:szCs w:val="24"/>
        </w:rPr>
        <w:t>meža resursus, ja šīs VES uzstāda, atmežojot mežu teritorijas pašu VES, to apkalpes laukumu, pievedceļu un kabeļu vajadzībām</w:t>
      </w:r>
      <w:r w:rsidRPr="004826D1">
        <w:rPr>
          <w:rFonts w:cs="Times New Roman"/>
          <w:color w:val="000000"/>
          <w:szCs w:val="24"/>
        </w:rPr>
        <w:t xml:space="preserve">. </w:t>
      </w:r>
      <w:r>
        <w:rPr>
          <w:rFonts w:cs="Times New Roman"/>
          <w:color w:val="000000"/>
          <w:szCs w:val="24"/>
        </w:rPr>
        <w:t xml:space="preserve">Tā kā nav zināms, kādu daļu VES uzstādīs meža zemēs, </w:t>
      </w:r>
      <w:r w:rsidRPr="004826D1">
        <w:rPr>
          <w:rFonts w:cs="Times New Roman"/>
          <w:color w:val="000000"/>
          <w:szCs w:val="24"/>
        </w:rPr>
        <w:t xml:space="preserve">aprēķinu ērtībām </w:t>
      </w:r>
      <w:r>
        <w:rPr>
          <w:rFonts w:cs="Times New Roman"/>
          <w:color w:val="000000"/>
          <w:szCs w:val="24"/>
        </w:rPr>
        <w:t xml:space="preserve">pēc maksimālās piesardzības principa </w:t>
      </w:r>
      <w:r w:rsidRPr="004826D1">
        <w:rPr>
          <w:rFonts w:cs="Times New Roman"/>
          <w:color w:val="000000"/>
          <w:szCs w:val="24"/>
        </w:rPr>
        <w:t xml:space="preserve">lietots pieņēmums, ka </w:t>
      </w:r>
      <w:r>
        <w:rPr>
          <w:rFonts w:cs="Times New Roman"/>
          <w:color w:val="000000"/>
          <w:szCs w:val="24"/>
        </w:rPr>
        <w:t xml:space="preserve">tajās uzstādīs </w:t>
      </w:r>
      <w:r w:rsidRPr="004826D1">
        <w:rPr>
          <w:rFonts w:cs="Times New Roman"/>
          <w:color w:val="000000"/>
          <w:szCs w:val="24"/>
        </w:rPr>
        <w:t xml:space="preserve">kopumā 100 VES </w:t>
      </w:r>
      <w:r>
        <w:rPr>
          <w:rFonts w:cs="Times New Roman"/>
          <w:color w:val="000000"/>
          <w:szCs w:val="24"/>
        </w:rPr>
        <w:t xml:space="preserve">(kas būtu gadījumā, ja visas VES uzstādītu mežos, bet visām būtu maksimālās </w:t>
      </w:r>
      <w:r w:rsidRPr="004826D1">
        <w:rPr>
          <w:rFonts w:cs="Times New Roman"/>
          <w:color w:val="000000"/>
          <w:szCs w:val="24"/>
        </w:rPr>
        <w:t>jaud</w:t>
      </w:r>
      <w:r>
        <w:rPr>
          <w:rFonts w:cs="Times New Roman"/>
          <w:color w:val="000000"/>
          <w:szCs w:val="24"/>
        </w:rPr>
        <w:t>a</w:t>
      </w:r>
      <w:r w:rsidRPr="004826D1">
        <w:rPr>
          <w:rFonts w:cs="Times New Roman"/>
          <w:color w:val="000000"/>
          <w:szCs w:val="24"/>
        </w:rPr>
        <w:t xml:space="preserve"> 8 MW</w:t>
      </w:r>
      <w:r>
        <w:rPr>
          <w:rFonts w:cs="Times New Roman"/>
          <w:color w:val="000000"/>
          <w:szCs w:val="24"/>
        </w:rPr>
        <w:t>: patiesībā tikai daļu uzstādīs mežos, savukārt vidēji to jauda būs mazāka, tātad skaits lielāks)</w:t>
      </w:r>
      <w:r w:rsidRPr="004826D1">
        <w:rPr>
          <w:rFonts w:cs="Times New Roman"/>
          <w:color w:val="000000"/>
          <w:szCs w:val="24"/>
        </w:rPr>
        <w:t xml:space="preserve">. </w:t>
      </w:r>
      <w:r>
        <w:rPr>
          <w:rFonts w:cs="Times New Roman"/>
          <w:color w:val="000000"/>
          <w:szCs w:val="24"/>
        </w:rPr>
        <w:t xml:space="preserve">Pieņemot, ka vidēji katra VES prasa atmežot 3 ha, kopējā atmežojamā platība būtu 300 ha jeb 3 km². </w:t>
      </w:r>
      <w:r w:rsidRPr="004826D1">
        <w:rPr>
          <w:rFonts w:cs="Times New Roman"/>
          <w:color w:val="000000"/>
          <w:szCs w:val="24"/>
        </w:rPr>
        <w:t xml:space="preserve">Šāda </w:t>
      </w:r>
      <w:r>
        <w:rPr>
          <w:rFonts w:cs="Times New Roman"/>
          <w:color w:val="000000"/>
          <w:szCs w:val="24"/>
        </w:rPr>
        <w:t xml:space="preserve">atmežojamā platība </w:t>
      </w:r>
      <w:r w:rsidRPr="004826D1">
        <w:rPr>
          <w:rFonts w:cs="Times New Roman"/>
          <w:color w:val="000000"/>
          <w:szCs w:val="24"/>
        </w:rPr>
        <w:t>Latvijas mērogā uzskatām</w:t>
      </w:r>
      <w:r>
        <w:rPr>
          <w:rFonts w:cs="Times New Roman"/>
          <w:color w:val="000000"/>
          <w:szCs w:val="24"/>
        </w:rPr>
        <w:t>a</w:t>
      </w:r>
      <w:r w:rsidRPr="004826D1">
        <w:rPr>
          <w:rFonts w:cs="Times New Roman"/>
          <w:color w:val="000000"/>
          <w:szCs w:val="24"/>
        </w:rPr>
        <w:t xml:space="preserve"> par nebūtisku</w:t>
      </w:r>
      <w:r w:rsidR="00DC3E24">
        <w:rPr>
          <w:rFonts w:cs="Times New Roman"/>
          <w:color w:val="000000"/>
          <w:szCs w:val="24"/>
        </w:rPr>
        <w:t>: 0,009% mežu kopplatības</w:t>
      </w:r>
      <w:r w:rsidRPr="004826D1">
        <w:rPr>
          <w:rFonts w:cs="Times New Roman"/>
          <w:color w:val="000000"/>
          <w:szCs w:val="24"/>
        </w:rPr>
        <w:t>.</w:t>
      </w:r>
    </w:p>
    <w:p w14:paraId="42C531DC" w14:textId="17A15F86" w:rsidR="00E851B9" w:rsidRDefault="00E851B9" w:rsidP="00E851B9">
      <w:pPr>
        <w:spacing w:before="120" w:after="120"/>
        <w:jc w:val="both"/>
        <w:rPr>
          <w:rFonts w:cs="Times New Roman"/>
          <w:szCs w:val="24"/>
          <w:lang w:eastAsia="lv-LV"/>
        </w:rPr>
      </w:pPr>
      <w:r w:rsidRPr="004826D1">
        <w:rPr>
          <w:rFonts w:cs="Times New Roman"/>
          <w:szCs w:val="24"/>
          <w:lang w:eastAsia="lv-LV"/>
        </w:rPr>
        <w:t xml:space="preserve">Plāns paredz cietās biomasas apjoma pieaugumu enerģijas galapatēriņā, </w:t>
      </w:r>
      <w:r w:rsidR="000E60E0">
        <w:rPr>
          <w:rFonts w:cs="Times New Roman"/>
          <w:szCs w:val="24"/>
          <w:lang w:eastAsia="lv-LV"/>
        </w:rPr>
        <w:t xml:space="preserve">tomēr tam </w:t>
      </w:r>
      <w:r w:rsidRPr="004826D1">
        <w:rPr>
          <w:rFonts w:cs="Times New Roman"/>
          <w:szCs w:val="24"/>
          <w:lang w:eastAsia="lv-LV"/>
        </w:rPr>
        <w:t>nav paredzams tiešs cietās biomasas ieguves apjoma pieaugums ar mežu izciršanu: Latvijā pietiek līdz šim nepietiekami izmantotas nedzīvas biomasas, un pieaugums paredzēts tieši uz tās rēķina, nevis uz speciāli papildus iegūstamas dzīvas biomasas rēķina.</w:t>
      </w:r>
    </w:p>
    <w:p w14:paraId="24DA5606" w14:textId="56529BF4" w:rsidR="000E60E0" w:rsidRPr="004826D1" w:rsidRDefault="000E60E0" w:rsidP="00E851B9">
      <w:pPr>
        <w:spacing w:before="120" w:after="120"/>
        <w:jc w:val="both"/>
        <w:rPr>
          <w:rFonts w:cs="Times New Roman"/>
          <w:szCs w:val="24"/>
          <w:lang w:eastAsia="lv-LV"/>
        </w:rPr>
      </w:pPr>
      <w:r>
        <w:rPr>
          <w:rFonts w:cs="Times New Roman"/>
          <w:szCs w:val="24"/>
          <w:lang w:eastAsia="lv-LV"/>
        </w:rPr>
        <w:t xml:space="preserve">Rīcībpolitikām </w:t>
      </w:r>
      <w:r w:rsidRPr="000E60E0">
        <w:rPr>
          <w:rFonts w:cs="Times New Roman"/>
          <w:szCs w:val="24"/>
          <w:lang w:eastAsia="lv-LV"/>
        </w:rPr>
        <w:t>ZIZIMM</w:t>
      </w:r>
      <w:r>
        <w:rPr>
          <w:rFonts w:cs="Times New Roman"/>
          <w:szCs w:val="24"/>
          <w:lang w:eastAsia="lv-LV"/>
        </w:rPr>
        <w:t xml:space="preserve"> sektorā paredzama gan pozitīva, gan negatīva ietekme uz meža resursiem</w:t>
      </w:r>
      <w:r w:rsidR="00857535">
        <w:rPr>
          <w:rFonts w:cs="Times New Roman"/>
          <w:szCs w:val="24"/>
          <w:lang w:eastAsia="lv-LV"/>
        </w:rPr>
        <w:t>, tomēr pozitīvā ir acīmredzamā pārsvarā  (skat. Pielikumu).</w:t>
      </w:r>
    </w:p>
    <w:p w14:paraId="16B9AE80" w14:textId="77777777" w:rsidR="00857535" w:rsidRPr="004826D1" w:rsidRDefault="00857535" w:rsidP="00857535">
      <w:pPr>
        <w:spacing w:after="120"/>
        <w:ind w:firstLine="720"/>
        <w:jc w:val="both"/>
        <w:rPr>
          <w:i/>
          <w:u w:val="single"/>
          <w:lang w:eastAsia="lv-LV"/>
        </w:rPr>
      </w:pPr>
      <w:bookmarkStart w:id="243" w:name="_Toc4430117"/>
      <w:bookmarkStart w:id="244" w:name="_Toc4488351"/>
      <w:r w:rsidRPr="004826D1">
        <w:rPr>
          <w:i/>
          <w:u w:val="single"/>
          <w:lang w:eastAsia="lv-LV"/>
        </w:rPr>
        <w:t>Vērtējums: +1, tieša, ilgtermiņa, primāra, neatgriezeniska (pieņemot, ka videi draudzīgas enerģētikas attīstība nebeigsies) ietekme.</w:t>
      </w:r>
    </w:p>
    <w:p w14:paraId="574BA23A" w14:textId="77777777" w:rsidR="00591332" w:rsidRPr="004826D1" w:rsidRDefault="00591332" w:rsidP="00591332">
      <w:pPr>
        <w:pStyle w:val="Heading2"/>
        <w:rPr>
          <w:rFonts w:ascii="Times New Roman" w:hAnsi="Times New Roman"/>
          <w:lang w:val="lv-LV"/>
        </w:rPr>
      </w:pPr>
    </w:p>
    <w:p w14:paraId="0B9B7FF6" w14:textId="77777777" w:rsidR="001A55D7" w:rsidRPr="004826D1" w:rsidRDefault="001A55D7" w:rsidP="001A55D7">
      <w:pPr>
        <w:rPr>
          <w:lang w:eastAsia="en-GB"/>
        </w:rPr>
      </w:pPr>
    </w:p>
    <w:p w14:paraId="6788C1A1" w14:textId="77777777" w:rsidR="00591332" w:rsidRPr="004826D1" w:rsidRDefault="0012774A" w:rsidP="00591332">
      <w:pPr>
        <w:pStyle w:val="Heading2"/>
        <w:rPr>
          <w:rFonts w:ascii="Times New Roman" w:hAnsi="Times New Roman"/>
          <w:lang w:val="lv-LV"/>
        </w:rPr>
      </w:pPr>
      <w:bookmarkStart w:id="245" w:name="_Toc169602297"/>
      <w:r>
        <w:rPr>
          <w:rFonts w:ascii="Times New Roman" w:hAnsi="Times New Roman"/>
          <w:lang w:val="lv-LV"/>
        </w:rPr>
        <w:t>6</w:t>
      </w:r>
      <w:r w:rsidR="00591332" w:rsidRPr="004826D1">
        <w:rPr>
          <w:rFonts w:ascii="Times New Roman" w:hAnsi="Times New Roman"/>
          <w:lang w:val="lv-LV"/>
        </w:rPr>
        <w:t>.3. Ūdens resursi un to kvalitāte</w:t>
      </w:r>
      <w:bookmarkEnd w:id="243"/>
      <w:bookmarkEnd w:id="244"/>
      <w:bookmarkEnd w:id="245"/>
    </w:p>
    <w:p w14:paraId="04791F59" w14:textId="77777777" w:rsidR="00591332" w:rsidRPr="004826D1" w:rsidRDefault="00591332" w:rsidP="00591332">
      <w:pPr>
        <w:rPr>
          <w:lang w:eastAsia="en-GB"/>
        </w:rPr>
      </w:pPr>
    </w:p>
    <w:p w14:paraId="35B4555A" w14:textId="77777777" w:rsidR="00591332" w:rsidRPr="004826D1" w:rsidRDefault="00591332" w:rsidP="00591332">
      <w:pPr>
        <w:autoSpaceDE w:val="0"/>
        <w:autoSpaceDN w:val="0"/>
        <w:adjustRightInd w:val="0"/>
        <w:spacing w:after="120"/>
        <w:jc w:val="both"/>
      </w:pPr>
      <w:r w:rsidRPr="004826D1">
        <w:t>Plāna pasākumiem nav identificējama ietekme uz ūdens resursiem un to kvalitāti.</w:t>
      </w:r>
    </w:p>
    <w:p w14:paraId="623B2420" w14:textId="77777777" w:rsidR="00644E63" w:rsidRPr="004826D1" w:rsidRDefault="00644E63" w:rsidP="00644E63">
      <w:pPr>
        <w:spacing w:after="120"/>
        <w:ind w:firstLine="720"/>
        <w:jc w:val="both"/>
        <w:rPr>
          <w:i/>
          <w:u w:val="single"/>
          <w:lang w:eastAsia="lv-LV"/>
        </w:rPr>
      </w:pPr>
      <w:r w:rsidRPr="004826D1">
        <w:rPr>
          <w:i/>
          <w:u w:val="single"/>
          <w:lang w:eastAsia="lv-LV"/>
        </w:rPr>
        <w:t>Vērtējums: 0</w:t>
      </w:r>
    </w:p>
    <w:p w14:paraId="11E5D5F1" w14:textId="77777777" w:rsidR="00651D33" w:rsidRPr="004826D1" w:rsidRDefault="00651D33" w:rsidP="00651D33"/>
    <w:p w14:paraId="394D2AC2" w14:textId="77777777" w:rsidR="001A55D7" w:rsidRPr="004826D1" w:rsidRDefault="001A55D7" w:rsidP="00651D33"/>
    <w:p w14:paraId="606E34C2" w14:textId="77777777" w:rsidR="00760589" w:rsidRPr="004826D1" w:rsidRDefault="0012774A" w:rsidP="00760589">
      <w:pPr>
        <w:pStyle w:val="Heading2"/>
        <w:rPr>
          <w:rFonts w:ascii="Times New Roman" w:hAnsi="Times New Roman"/>
          <w:lang w:val="lv-LV"/>
        </w:rPr>
      </w:pPr>
      <w:bookmarkStart w:id="246" w:name="_Toc4430120"/>
      <w:bookmarkStart w:id="247" w:name="_Toc4488354"/>
      <w:bookmarkStart w:id="248" w:name="_Toc169602298"/>
      <w:r>
        <w:rPr>
          <w:rFonts w:ascii="Times New Roman" w:hAnsi="Times New Roman"/>
          <w:lang w:val="lv-LV"/>
        </w:rPr>
        <w:t>6</w:t>
      </w:r>
      <w:r w:rsidR="00760589" w:rsidRPr="004826D1">
        <w:rPr>
          <w:rFonts w:ascii="Times New Roman" w:hAnsi="Times New Roman"/>
          <w:lang w:val="lv-LV"/>
        </w:rPr>
        <w:t>.4. Augsne</w:t>
      </w:r>
      <w:bookmarkEnd w:id="246"/>
      <w:bookmarkEnd w:id="247"/>
      <w:bookmarkEnd w:id="248"/>
    </w:p>
    <w:p w14:paraId="7EEADFF9" w14:textId="77777777" w:rsidR="00760589" w:rsidRPr="004826D1" w:rsidRDefault="00760589" w:rsidP="00760589">
      <w:pPr>
        <w:autoSpaceDE w:val="0"/>
        <w:autoSpaceDN w:val="0"/>
        <w:adjustRightInd w:val="0"/>
        <w:spacing w:after="120"/>
        <w:ind w:firstLine="720"/>
        <w:jc w:val="both"/>
      </w:pPr>
    </w:p>
    <w:p w14:paraId="139F4A12" w14:textId="62197214" w:rsidR="00760589" w:rsidRPr="004826D1" w:rsidRDefault="007A1297" w:rsidP="00760589">
      <w:pPr>
        <w:autoSpaceDE w:val="0"/>
        <w:autoSpaceDN w:val="0"/>
        <w:adjustRightInd w:val="0"/>
        <w:spacing w:after="120"/>
        <w:jc w:val="both"/>
      </w:pPr>
      <w:r>
        <w:rPr>
          <w:rFonts w:cs="Times New Roman"/>
          <w:szCs w:val="24"/>
          <w:lang w:eastAsia="lv-LV"/>
        </w:rPr>
        <w:t>Vienai rīcībpolitikai “</w:t>
      </w:r>
      <w:r w:rsidRPr="007A1297">
        <w:rPr>
          <w:rFonts w:cs="Times New Roman"/>
          <w:szCs w:val="24"/>
          <w:lang w:eastAsia="lv-LV"/>
        </w:rPr>
        <w:t>3.1.6.2.</w:t>
      </w:r>
      <w:r>
        <w:rPr>
          <w:rFonts w:cs="Times New Roman"/>
          <w:szCs w:val="24"/>
          <w:lang w:eastAsia="lv-LV"/>
        </w:rPr>
        <w:t> </w:t>
      </w:r>
      <w:r w:rsidRPr="007A1297">
        <w:rPr>
          <w:rFonts w:cs="Times New Roman"/>
          <w:szCs w:val="24"/>
          <w:lang w:eastAsia="lv-LV"/>
        </w:rPr>
        <w:t>Augsnes ielabošana kūdreņos, izmantojot koksnes pelnus</w:t>
      </w:r>
      <w:r>
        <w:rPr>
          <w:rFonts w:cs="Times New Roman"/>
          <w:szCs w:val="24"/>
          <w:lang w:eastAsia="lv-LV"/>
        </w:rPr>
        <w:t>”</w:t>
      </w:r>
      <w:r w:rsidRPr="007A1297">
        <w:rPr>
          <w:rFonts w:cs="Times New Roman"/>
          <w:szCs w:val="24"/>
          <w:lang w:eastAsia="lv-LV"/>
        </w:rPr>
        <w:t xml:space="preserve"> </w:t>
      </w:r>
      <w:r w:rsidRPr="000E60E0">
        <w:rPr>
          <w:rFonts w:cs="Times New Roman"/>
          <w:szCs w:val="24"/>
          <w:lang w:eastAsia="lv-LV"/>
        </w:rPr>
        <w:t>ZIZIMM</w:t>
      </w:r>
      <w:r>
        <w:rPr>
          <w:rFonts w:cs="Times New Roman"/>
          <w:szCs w:val="24"/>
          <w:lang w:eastAsia="lv-LV"/>
        </w:rPr>
        <w:t xml:space="preserve"> sektorā paredzama pozitīva ietekme (skat. Pielikumu)</w:t>
      </w:r>
      <w:r w:rsidR="009C69D6" w:rsidRPr="004826D1">
        <w:t xml:space="preserve">, tomēr </w:t>
      </w:r>
      <w:r>
        <w:t xml:space="preserve">tik niecīga, ka Latvijās mērogā </w:t>
      </w:r>
      <w:r w:rsidR="009C69D6" w:rsidRPr="004826D1">
        <w:t xml:space="preserve">pēc piesardzības principa būtu korekti šo pozitīvo efektu vērtēt kā </w:t>
      </w:r>
      <w:r>
        <w:t>nesajūtamu</w:t>
      </w:r>
      <w:r w:rsidR="00760589" w:rsidRPr="004826D1">
        <w:t>.</w:t>
      </w:r>
    </w:p>
    <w:p w14:paraId="319D3C5B" w14:textId="77777777" w:rsidR="007A1297" w:rsidRPr="004826D1" w:rsidRDefault="007A1297" w:rsidP="007A1297">
      <w:pPr>
        <w:spacing w:after="120"/>
        <w:ind w:firstLine="720"/>
        <w:jc w:val="both"/>
        <w:rPr>
          <w:i/>
          <w:u w:val="single"/>
          <w:lang w:eastAsia="lv-LV"/>
        </w:rPr>
      </w:pPr>
      <w:r w:rsidRPr="004826D1">
        <w:rPr>
          <w:i/>
          <w:u w:val="single"/>
          <w:lang w:eastAsia="lv-LV"/>
        </w:rPr>
        <w:t>Vērtējums: 0</w:t>
      </w:r>
    </w:p>
    <w:p w14:paraId="7395EF6E" w14:textId="77777777" w:rsidR="00651D33" w:rsidRPr="004826D1" w:rsidRDefault="00651D33" w:rsidP="00651D33">
      <w:pPr>
        <w:jc w:val="both"/>
        <w:rPr>
          <w:rFonts w:cs="Times New Roman"/>
        </w:rPr>
      </w:pPr>
    </w:p>
    <w:p w14:paraId="5A0F35D6" w14:textId="77777777" w:rsidR="001A55D7" w:rsidRPr="004826D1" w:rsidRDefault="001A55D7" w:rsidP="00651D33">
      <w:pPr>
        <w:jc w:val="both"/>
        <w:rPr>
          <w:rFonts w:cs="Times New Roman"/>
        </w:rPr>
      </w:pPr>
    </w:p>
    <w:p w14:paraId="14913BB8" w14:textId="77777777" w:rsidR="00651D33" w:rsidRPr="004826D1" w:rsidRDefault="0012774A" w:rsidP="00651D33">
      <w:pPr>
        <w:pStyle w:val="Heading2"/>
        <w:spacing w:after="120"/>
        <w:jc w:val="both"/>
        <w:rPr>
          <w:rFonts w:ascii="Times New Roman" w:hAnsi="Times New Roman"/>
          <w:lang w:val="lv-LV"/>
        </w:rPr>
      </w:pPr>
      <w:bookmarkStart w:id="249" w:name="_Toc169602299"/>
      <w:r>
        <w:rPr>
          <w:rFonts w:ascii="Times New Roman" w:hAnsi="Times New Roman"/>
          <w:lang w:val="lv-LV"/>
        </w:rPr>
        <w:t>6</w:t>
      </w:r>
      <w:r w:rsidR="00651D33" w:rsidRPr="004826D1">
        <w:rPr>
          <w:rFonts w:ascii="Times New Roman" w:hAnsi="Times New Roman"/>
          <w:lang w:val="lv-LV"/>
        </w:rPr>
        <w:t>.</w:t>
      </w:r>
      <w:r w:rsidR="000D0A4B">
        <w:rPr>
          <w:rFonts w:ascii="Times New Roman" w:hAnsi="Times New Roman"/>
          <w:lang w:val="lv-LV"/>
        </w:rPr>
        <w:t>5</w:t>
      </w:r>
      <w:r w:rsidR="00651D33" w:rsidRPr="004826D1">
        <w:rPr>
          <w:rFonts w:ascii="Times New Roman" w:hAnsi="Times New Roman"/>
          <w:lang w:val="lv-LV"/>
        </w:rPr>
        <w:t xml:space="preserve"> Atmosfēras gaisa kvalitāte</w:t>
      </w:r>
      <w:bookmarkEnd w:id="249"/>
    </w:p>
    <w:p w14:paraId="22ACC7AE" w14:textId="77777777" w:rsidR="00AC2920" w:rsidRPr="004826D1" w:rsidRDefault="00651D33" w:rsidP="001A55D7">
      <w:pPr>
        <w:spacing w:after="120"/>
        <w:jc w:val="both"/>
      </w:pPr>
      <w:r w:rsidRPr="004826D1">
        <w:rPr>
          <w:lang w:eastAsia="en-GB"/>
        </w:rPr>
        <w:t>Gaisa kvalitāte ir potenciāli viens no būtiskākajiem vides aspektiem, uz ko enerģētikas Plānam var būt ietekme. Par atskaiti šīs ietekmes vērtēšanai 5.6. nodaļā ir sniegts esošās gaisa kvalitātes raksturojums un “</w:t>
      </w:r>
      <w:r w:rsidRPr="004826D1">
        <w:t>Gaisa piesārņojuma samazināšanas rīcības plānā 2019.-2030.</w:t>
      </w:r>
      <w:r w:rsidR="000200F2" w:rsidRPr="004826D1">
        <w:t> </w:t>
      </w:r>
      <w:r w:rsidRPr="004826D1">
        <w:t>gadam” (VARAM, 2019)</w:t>
      </w:r>
      <w:r w:rsidR="00B91675" w:rsidRPr="004826D1">
        <w:rPr>
          <w:rStyle w:val="FootnoteReference"/>
        </w:rPr>
        <w:t xml:space="preserve"> </w:t>
      </w:r>
      <w:r w:rsidRPr="004826D1">
        <w:t xml:space="preserve">prognozētās 2030. gada </w:t>
      </w:r>
      <w:r w:rsidRPr="004826D1">
        <w:rPr>
          <w:lang w:eastAsia="en-GB"/>
        </w:rPr>
        <w:t>gaisa kvalitātes raksturojums</w:t>
      </w:r>
      <w:r w:rsidR="003B27B5" w:rsidRPr="004826D1">
        <w:t xml:space="preserve">, kura 5. daļā “Emisiju prognozes scenārijā ar papildu pasākumiem” </w:t>
      </w:r>
      <w:r w:rsidRPr="004826D1">
        <w:t xml:space="preserve">vēl nav ņemtas vērā Plāna </w:t>
      </w:r>
      <w:r w:rsidR="00AC2920" w:rsidRPr="004826D1">
        <w:t xml:space="preserve">rīcībpolitiku un pasākumu </w:t>
      </w:r>
      <w:r w:rsidRPr="004826D1">
        <w:t>īstenošanas ietekmes</w:t>
      </w:r>
      <w:r w:rsidR="00AC2920" w:rsidRPr="004826D1">
        <w:t xml:space="preserve">, tātad būtībā tās atbilst </w:t>
      </w:r>
      <w:r w:rsidR="003B27B5" w:rsidRPr="004826D1">
        <w:t xml:space="preserve">Plāna </w:t>
      </w:r>
      <w:r w:rsidR="00AC2920" w:rsidRPr="004826D1">
        <w:t>Bāzes scenārijam.</w:t>
      </w:r>
    </w:p>
    <w:p w14:paraId="59751CC6" w14:textId="1F411A54" w:rsidR="006D7087" w:rsidRPr="004826D1" w:rsidRDefault="003724EB" w:rsidP="006D7087">
      <w:pPr>
        <w:jc w:val="both"/>
      </w:pPr>
      <w:r>
        <w:t>E</w:t>
      </w:r>
      <w:r w:rsidR="003B27B5" w:rsidRPr="004826D1">
        <w:t>misiju prognozes uzrāda kopumā noteikto emisiju mērķu izpildi 2025. un 2030. gadā arī bez Plāna</w:t>
      </w:r>
      <w:r w:rsidR="00787216" w:rsidRPr="004826D1">
        <w:t xml:space="preserve">. 2030. gadā </w:t>
      </w:r>
      <w:r w:rsidR="00773942" w:rsidRPr="004826D1">
        <w:t xml:space="preserve">prognozētās </w:t>
      </w:r>
      <w:r w:rsidR="00787216" w:rsidRPr="004826D1">
        <w:t>emisijas</w:t>
      </w:r>
      <w:r w:rsidR="006D7087" w:rsidRPr="004826D1">
        <w:t xml:space="preserve"> ir mazākas, nekā noteiktie emisiju mērķi uz 2030.</w:t>
      </w:r>
      <w:r w:rsidR="000B4DD3">
        <w:t> </w:t>
      </w:r>
      <w:r w:rsidR="006D7087" w:rsidRPr="004826D1">
        <w:t>gadu, šādos apmēros:</w:t>
      </w:r>
    </w:p>
    <w:p w14:paraId="7CDDCB77" w14:textId="77777777" w:rsidR="006D7087" w:rsidRPr="004826D1" w:rsidRDefault="006D7087" w:rsidP="00B71063">
      <w:pPr>
        <w:pStyle w:val="StyleStyleJustifiedBefore6ptAfter6ptTimesNewRoman"/>
        <w:numPr>
          <w:ilvl w:val="0"/>
          <w:numId w:val="18"/>
        </w:numPr>
        <w:rPr>
          <w:lang w:val="lv-LV"/>
        </w:rPr>
      </w:pPr>
      <w:r w:rsidRPr="004826D1">
        <w:rPr>
          <w:lang w:val="lv-LV"/>
        </w:rPr>
        <w:t>NOx – par 2 %;</w:t>
      </w:r>
    </w:p>
    <w:p w14:paraId="63D397E1" w14:textId="77777777" w:rsidR="006D7087" w:rsidRPr="004826D1" w:rsidRDefault="006D7087" w:rsidP="00B71063">
      <w:pPr>
        <w:pStyle w:val="StyleStyleJustifiedBefore6ptAfter6ptTimesNewRoman"/>
        <w:numPr>
          <w:ilvl w:val="0"/>
          <w:numId w:val="18"/>
        </w:numPr>
        <w:rPr>
          <w:lang w:val="lv-LV"/>
        </w:rPr>
      </w:pPr>
      <w:r w:rsidRPr="004826D1">
        <w:rPr>
          <w:lang w:val="lv-LV"/>
        </w:rPr>
        <w:t>SO</w:t>
      </w:r>
      <w:r w:rsidRPr="004826D1">
        <w:rPr>
          <w:vertAlign w:val="subscript"/>
          <w:lang w:val="lv-LV"/>
        </w:rPr>
        <w:t>2</w:t>
      </w:r>
      <w:r w:rsidRPr="004826D1">
        <w:rPr>
          <w:lang w:val="lv-LV"/>
        </w:rPr>
        <w:t xml:space="preserve"> – par 7,8 %;</w:t>
      </w:r>
    </w:p>
    <w:p w14:paraId="4776721F" w14:textId="77777777" w:rsidR="006D7087" w:rsidRPr="004826D1" w:rsidRDefault="006D7087" w:rsidP="00B71063">
      <w:pPr>
        <w:pStyle w:val="StyleStyleJustifiedBefore6ptAfter6ptTimesNewRoman"/>
        <w:numPr>
          <w:ilvl w:val="0"/>
          <w:numId w:val="18"/>
        </w:numPr>
        <w:rPr>
          <w:lang w:val="lv-LV"/>
        </w:rPr>
      </w:pPr>
      <w:r w:rsidRPr="004826D1">
        <w:rPr>
          <w:lang w:val="lv-LV"/>
        </w:rPr>
        <w:t>NMGOS – par 6,9 %;</w:t>
      </w:r>
    </w:p>
    <w:p w14:paraId="2604F1DF" w14:textId="77777777" w:rsidR="006D7087" w:rsidRPr="004826D1" w:rsidRDefault="006D7087" w:rsidP="00B71063">
      <w:pPr>
        <w:pStyle w:val="StyleStyleJustifiedBefore6ptAfter6ptTimesNewRoman"/>
        <w:numPr>
          <w:ilvl w:val="0"/>
          <w:numId w:val="18"/>
        </w:numPr>
        <w:rPr>
          <w:lang w:val="lv-LV"/>
        </w:rPr>
      </w:pPr>
      <w:r w:rsidRPr="004826D1">
        <w:rPr>
          <w:lang w:val="lv-LV"/>
        </w:rPr>
        <w:t>NH</w:t>
      </w:r>
      <w:r w:rsidRPr="004826D1">
        <w:rPr>
          <w:vertAlign w:val="subscript"/>
          <w:lang w:val="lv-LV"/>
        </w:rPr>
        <w:t>3</w:t>
      </w:r>
      <w:r w:rsidRPr="004826D1">
        <w:rPr>
          <w:lang w:val="lv-LV"/>
        </w:rPr>
        <w:t xml:space="preserve"> – par 2,1 %; </w:t>
      </w:r>
    </w:p>
    <w:p w14:paraId="26BFACFD" w14:textId="77777777" w:rsidR="006D7087" w:rsidRPr="004826D1" w:rsidRDefault="006D7087" w:rsidP="00B71063">
      <w:pPr>
        <w:pStyle w:val="StyleStyleJustifiedBefore6ptAfter6ptTimesNewRoman"/>
        <w:numPr>
          <w:ilvl w:val="0"/>
          <w:numId w:val="18"/>
        </w:numPr>
        <w:rPr>
          <w:lang w:val="lv-LV"/>
        </w:rPr>
      </w:pPr>
      <w:r w:rsidRPr="004826D1">
        <w:rPr>
          <w:lang w:val="lv-LV"/>
        </w:rPr>
        <w:t>PM</w:t>
      </w:r>
      <w:r w:rsidRPr="004826D1">
        <w:rPr>
          <w:vertAlign w:val="subscript"/>
          <w:lang w:val="lv-LV"/>
        </w:rPr>
        <w:t>2,5</w:t>
      </w:r>
      <w:r w:rsidRPr="004826D1">
        <w:rPr>
          <w:lang w:val="lv-LV"/>
        </w:rPr>
        <w:t xml:space="preserve"> – par 22 %.</w:t>
      </w:r>
    </w:p>
    <w:p w14:paraId="225C297F" w14:textId="77777777" w:rsidR="00787216" w:rsidRDefault="0013097D" w:rsidP="001A55D7">
      <w:pPr>
        <w:spacing w:after="120"/>
        <w:jc w:val="both"/>
      </w:pPr>
      <w:r w:rsidRPr="004826D1">
        <w:t>Tātad emisiju mērķi tiek jau sasniegti ar uzviju arī bez Plāna, tāpēc visas Plāna ietekmes, kas izmaina gaisa piesārņojumu tādās robežās, ka tas tik uz tā sasniedz emisiju mērķus, uzskatāmas par nebūtiskām, tāpēc detalizēti skaitliski aprēķini to būtiskuma precizēšanai nav lietderīgi.</w:t>
      </w:r>
    </w:p>
    <w:p w14:paraId="7E16D78B" w14:textId="00871D9D" w:rsidR="000B4DD3" w:rsidRDefault="00207236" w:rsidP="000B4DD3">
      <w:pPr>
        <w:spacing w:after="120"/>
        <w:jc w:val="both"/>
      </w:pPr>
      <w:r>
        <w:t>K</w:t>
      </w:r>
      <w:r w:rsidR="000B4DD3">
        <w:t>opējās emisijas</w:t>
      </w:r>
      <w:r>
        <w:t xml:space="preserve"> pa piesārņojošo vielu veidiem ir vērtētas sekojošajās apakšnodaļās</w:t>
      </w:r>
      <w:r w:rsidR="000B4DD3">
        <w:t xml:space="preserve">. </w:t>
      </w:r>
      <w:r>
        <w:t>P</w:t>
      </w:r>
      <w:r w:rsidR="000B4DD3">
        <w:t xml:space="preserve">aredzētie energoresursu ieguves veidi un atsevišķie sektori </w:t>
      </w:r>
      <w:r>
        <w:t xml:space="preserve">var </w:t>
      </w:r>
      <w:r w:rsidR="000B4DD3">
        <w:t>ietekmē</w:t>
      </w:r>
      <w:r>
        <w:t>t</w:t>
      </w:r>
      <w:r w:rsidR="000B4DD3">
        <w:t xml:space="preserve"> gaisa kvalitāti, ņemot vērā </w:t>
      </w:r>
      <w:r>
        <w:t xml:space="preserve">arī </w:t>
      </w:r>
      <w:r w:rsidR="000B4DD3">
        <w:t xml:space="preserve">paredzamās izmaiņas pārskatītajā Eiropas Savienības direktīvā par gaisa kvalitāti un tīrāku gaisu Eiropai, kuru paredzēts apstiprināt līdz 2024.gada beigām. </w:t>
      </w:r>
    </w:p>
    <w:p w14:paraId="42E98876" w14:textId="65C6F373" w:rsidR="000B4DD3" w:rsidRDefault="00207236" w:rsidP="000B4DD3">
      <w:pPr>
        <w:spacing w:after="120"/>
        <w:jc w:val="both"/>
      </w:pPr>
      <w:r>
        <w:t>A</w:t>
      </w:r>
      <w:r w:rsidR="000B4DD3">
        <w:t>tsevišķi energoresursu ieguves veidi</w:t>
      </w:r>
      <w:r>
        <w:t xml:space="preserve"> var radīt iespējamu lokālu smaku piesārņojumu</w:t>
      </w:r>
      <w:r w:rsidR="000B4DD3">
        <w:t>, piemēram, šķeldas ražošana</w:t>
      </w:r>
      <w:r>
        <w:t xml:space="preserve"> no koksnes. B</w:t>
      </w:r>
      <w:r w:rsidR="000B4DD3">
        <w:t>iomasas, t.sk. koksnes kā atjaun</w:t>
      </w:r>
      <w:r>
        <w:t>ojamo energoresursu izmantošana</w:t>
      </w:r>
      <w:r w:rsidR="000B4DD3">
        <w:t xml:space="preserve"> enerģijas ieguvei </w:t>
      </w:r>
      <w:r>
        <w:t xml:space="preserve">var radīt </w:t>
      </w:r>
      <w:r w:rsidR="000B4DD3">
        <w:t>papildu gaisa piesārņojumu, kas primāri nav raksturīgs vairākiem fosilā kurināmā veidiem</w:t>
      </w:r>
      <w:r>
        <w:t>:</w:t>
      </w:r>
      <w:r w:rsidR="000B4DD3">
        <w:t xml:space="preserve"> piesārņojums ar gaistošajiem organiskajiem savi</w:t>
      </w:r>
      <w:r>
        <w:t xml:space="preserve">enojumiem un smalkajām daļiņām </w:t>
      </w:r>
      <w:r w:rsidR="000B4DD3">
        <w:t>PM</w:t>
      </w:r>
      <w:r w:rsidR="000B4DD3" w:rsidRPr="00207236">
        <w:rPr>
          <w:vertAlign w:val="subscript"/>
        </w:rPr>
        <w:t>10</w:t>
      </w:r>
      <w:r w:rsidR="000B4DD3">
        <w:t xml:space="preserve"> un PM</w:t>
      </w:r>
      <w:r>
        <w:rPr>
          <w:vertAlign w:val="subscript"/>
        </w:rPr>
        <w:t>2,5</w:t>
      </w:r>
      <w:r w:rsidR="000B4DD3">
        <w:t xml:space="preserve">. </w:t>
      </w:r>
    </w:p>
    <w:p w14:paraId="7F3E5B04" w14:textId="6C3FEDCE" w:rsidR="000B4DD3" w:rsidRPr="004826D1" w:rsidRDefault="00207236" w:rsidP="000B4DD3">
      <w:pPr>
        <w:spacing w:after="120"/>
        <w:jc w:val="both"/>
      </w:pPr>
      <w:r>
        <w:t>E</w:t>
      </w:r>
      <w:r w:rsidR="000B4DD3">
        <w:t>nergoefektivi</w:t>
      </w:r>
      <w:r>
        <w:t>tātes paaugstināšanas pasākumi</w:t>
      </w:r>
      <w:r w:rsidR="000B4DD3">
        <w:t xml:space="preserve"> ēkās </w:t>
      </w:r>
      <w:r>
        <w:t xml:space="preserve">var </w:t>
      </w:r>
      <w:r w:rsidR="000B4DD3">
        <w:t>ietekmē</w:t>
      </w:r>
      <w:r>
        <w:t>t</w:t>
      </w:r>
      <w:r w:rsidR="000B4DD3">
        <w:t xml:space="preserve"> iekštelpu gaisa kvalitāti. </w:t>
      </w:r>
      <w:r>
        <w:t>B</w:t>
      </w:r>
      <w:r w:rsidR="000B4DD3">
        <w:t xml:space="preserve">ez atbilstošas ēku ventilācijas renovācijas vai ierīkošanas </w:t>
      </w:r>
      <w:r>
        <w:t xml:space="preserve">šiem pasākumiem </w:t>
      </w:r>
      <w:r w:rsidR="000B4DD3">
        <w:t>var būt negatīva ietekme uz iekštelpu gaisa kvalitāti, pazemin</w:t>
      </w:r>
      <w:r>
        <w:t>ot</w:t>
      </w:r>
      <w:r w:rsidR="000B4DD3">
        <w:t xml:space="preserve"> cilvēk</w:t>
      </w:r>
      <w:r>
        <w:t>u</w:t>
      </w:r>
      <w:r w:rsidR="000B4DD3">
        <w:t xml:space="preserve"> darbaspējas (piemēram, skolās un birojos) un dzīves kvalitāti kopumā, radot arī riskus veselībai.</w:t>
      </w:r>
    </w:p>
    <w:p w14:paraId="44B0C0D5" w14:textId="77777777" w:rsidR="003724EB" w:rsidRDefault="003724EB" w:rsidP="00F05B5A">
      <w:pPr>
        <w:pStyle w:val="Heading2"/>
        <w:spacing w:after="120"/>
        <w:jc w:val="both"/>
        <w:rPr>
          <w:rFonts w:ascii="Times New Roman" w:hAnsi="Times New Roman"/>
          <w:sz w:val="24"/>
          <w:szCs w:val="24"/>
          <w:lang w:val="lv-LV"/>
        </w:rPr>
      </w:pPr>
    </w:p>
    <w:p w14:paraId="4BE28119" w14:textId="77777777" w:rsidR="00651D33" w:rsidRPr="004826D1" w:rsidRDefault="0012774A" w:rsidP="00F05B5A">
      <w:pPr>
        <w:pStyle w:val="Heading2"/>
        <w:spacing w:after="120"/>
        <w:jc w:val="both"/>
        <w:rPr>
          <w:rFonts w:ascii="Times New Roman" w:hAnsi="Times New Roman"/>
          <w:sz w:val="24"/>
          <w:szCs w:val="24"/>
          <w:lang w:val="lv-LV"/>
        </w:rPr>
      </w:pPr>
      <w:bookmarkStart w:id="250" w:name="_Toc169602300"/>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.1. Slāpekļa oksīd</w:t>
      </w:r>
      <w:r w:rsidR="006F1096" w:rsidRPr="004826D1">
        <w:rPr>
          <w:rFonts w:ascii="Times New Roman" w:hAnsi="Times New Roman"/>
          <w:sz w:val="24"/>
          <w:szCs w:val="24"/>
          <w:lang w:val="lv-LV"/>
        </w:rPr>
        <w:t>u</w:t>
      </w:r>
      <w:r w:rsidR="00651D33" w:rsidRPr="004826D1">
        <w:rPr>
          <w:rFonts w:ascii="Times New Roman" w:hAnsi="Times New Roman"/>
          <w:sz w:val="24"/>
          <w:szCs w:val="24"/>
          <w:lang w:val="lv-LV"/>
        </w:rPr>
        <w:t xml:space="preserve"> emisijas</w:t>
      </w:r>
      <w:bookmarkEnd w:id="250"/>
    </w:p>
    <w:p w14:paraId="4B7F6E21" w14:textId="77777777" w:rsidR="009C14B3" w:rsidRPr="004826D1" w:rsidRDefault="00651D33" w:rsidP="00F05B5A">
      <w:pPr>
        <w:spacing w:after="120"/>
        <w:jc w:val="both"/>
        <w:rPr>
          <w:rFonts w:cs="Times New Roman"/>
          <w:szCs w:val="24"/>
        </w:rPr>
      </w:pPr>
      <w:r w:rsidRPr="004826D1">
        <w:rPr>
          <w:rFonts w:cs="Times New Roman"/>
          <w:szCs w:val="24"/>
        </w:rPr>
        <w:t>Slāpekļa oksīd</w:t>
      </w:r>
      <w:r w:rsidR="006F1096" w:rsidRPr="004826D1">
        <w:rPr>
          <w:rFonts w:cs="Times New Roman"/>
          <w:szCs w:val="24"/>
        </w:rPr>
        <w:t>u</w:t>
      </w:r>
      <w:r w:rsidRPr="004826D1">
        <w:rPr>
          <w:rFonts w:cs="Times New Roman"/>
          <w:szCs w:val="24"/>
        </w:rPr>
        <w:t xml:space="preserve"> galvenais avots ir transports ar iekšdedzes dzinējiem</w:t>
      </w:r>
      <w:r w:rsidR="009C14B3" w:rsidRPr="004826D1">
        <w:rPr>
          <w:rFonts w:cs="Times New Roman"/>
          <w:szCs w:val="24"/>
        </w:rPr>
        <w:t>, tātad, naftas produktu sadedzināšana, kā arī dabasgāze, kā arī citi sadedzināšanas procesi augst</w:t>
      </w:r>
      <w:r w:rsidR="006F1096" w:rsidRPr="004826D1">
        <w:rPr>
          <w:rFonts w:cs="Times New Roman"/>
          <w:szCs w:val="24"/>
        </w:rPr>
        <w:t>ā temper</w:t>
      </w:r>
      <w:r w:rsidR="009C14B3" w:rsidRPr="004826D1">
        <w:rPr>
          <w:rFonts w:cs="Times New Roman"/>
          <w:szCs w:val="24"/>
        </w:rPr>
        <w:t>atūrā: cietā fosilā kurināmā un biomasas sadedzināšana</w:t>
      </w:r>
      <w:r w:rsidRPr="004826D1">
        <w:rPr>
          <w:rFonts w:cs="Times New Roman"/>
          <w:szCs w:val="24"/>
        </w:rPr>
        <w:t xml:space="preserve">. </w:t>
      </w:r>
      <w:r w:rsidR="001503F4" w:rsidRPr="004826D1">
        <w:rPr>
          <w:rFonts w:cs="Times New Roman"/>
          <w:szCs w:val="24"/>
        </w:rPr>
        <w:t>Mērķa</w:t>
      </w:r>
      <w:r w:rsidR="009C14B3" w:rsidRPr="004826D1">
        <w:rPr>
          <w:rFonts w:cs="Times New Roman"/>
          <w:szCs w:val="24"/>
        </w:rPr>
        <w:t xml:space="preserve"> scenārijā </w:t>
      </w:r>
      <w:r w:rsidRPr="004826D1">
        <w:rPr>
          <w:rFonts w:cs="Times New Roman"/>
          <w:szCs w:val="24"/>
        </w:rPr>
        <w:t xml:space="preserve">paredzētais </w:t>
      </w:r>
      <w:r w:rsidR="006F1096" w:rsidRPr="004826D1">
        <w:rPr>
          <w:rFonts w:cs="Times New Roman"/>
          <w:szCs w:val="24"/>
        </w:rPr>
        <w:t xml:space="preserve">būtiskais samazinājums </w:t>
      </w:r>
      <w:r w:rsidR="009C14B3" w:rsidRPr="004826D1">
        <w:rPr>
          <w:rFonts w:cs="Times New Roman"/>
          <w:szCs w:val="24"/>
        </w:rPr>
        <w:t>naftas produktu un dabasgāzes</w:t>
      </w:r>
      <w:r w:rsidR="00D92CB6" w:rsidRPr="004826D1">
        <w:rPr>
          <w:rFonts w:cs="Times New Roman"/>
          <w:szCs w:val="24"/>
        </w:rPr>
        <w:t xml:space="preserve"> </w:t>
      </w:r>
      <w:r w:rsidR="009C14B3" w:rsidRPr="004826D1">
        <w:rPr>
          <w:rFonts w:cs="Times New Roman"/>
          <w:szCs w:val="24"/>
        </w:rPr>
        <w:t>patēri</w:t>
      </w:r>
      <w:r w:rsidR="00D92CB6" w:rsidRPr="004826D1">
        <w:rPr>
          <w:rFonts w:cs="Times New Roman"/>
          <w:szCs w:val="24"/>
        </w:rPr>
        <w:t>ņ</w:t>
      </w:r>
      <w:r w:rsidR="006F1096" w:rsidRPr="004826D1">
        <w:rPr>
          <w:rFonts w:cs="Times New Roman"/>
          <w:szCs w:val="24"/>
        </w:rPr>
        <w:t>ā</w:t>
      </w:r>
      <w:r w:rsidR="00D92CB6" w:rsidRPr="004826D1">
        <w:rPr>
          <w:rFonts w:cs="Times New Roman"/>
          <w:szCs w:val="24"/>
        </w:rPr>
        <w:t xml:space="preserve">, kuri kopā veido pusi </w:t>
      </w:r>
      <w:r w:rsidR="006F1096" w:rsidRPr="004826D1">
        <w:rPr>
          <w:rFonts w:cs="Times New Roman"/>
          <w:szCs w:val="24"/>
        </w:rPr>
        <w:t>visa patēriņa, var tikai samazināt slāpekļa oksīda emisijas. Ar katru šo avotu apjomā samērāmais cietās biomasas patēriņš praktiski nemainās, ietekmes nav. Relatīvi būtiskais (piecarpus reižu) šķidrās biomasas patēriņa pieaugums ir nebūtisks sakarā ar šā resursa mazo īpatsvaru (četrkārt mazāks nekā katram no trim iepriekšminētajiem) kopējā patēriņā. Pārējie ir vēl nebūtiskāki.</w:t>
      </w:r>
    </w:p>
    <w:p w14:paraId="72B0BDDA" w14:textId="77777777" w:rsidR="00651D33" w:rsidRPr="004826D1" w:rsidRDefault="00651D33" w:rsidP="00F05B5A">
      <w:pPr>
        <w:spacing w:after="120"/>
        <w:jc w:val="both"/>
        <w:rPr>
          <w:rFonts w:cs="Times New Roman"/>
          <w:szCs w:val="24"/>
        </w:rPr>
      </w:pPr>
      <w:r w:rsidRPr="004826D1">
        <w:rPr>
          <w:rFonts w:cs="Times New Roman"/>
          <w:szCs w:val="24"/>
        </w:rPr>
        <w:lastRenderedPageBreak/>
        <w:t>Plāna ietekme ir pozitīva.</w:t>
      </w:r>
    </w:p>
    <w:p w14:paraId="01705A8C" w14:textId="77777777" w:rsidR="00651D33" w:rsidRPr="004826D1" w:rsidRDefault="00651D33" w:rsidP="00651D33">
      <w:pPr>
        <w:jc w:val="both"/>
        <w:rPr>
          <w:rFonts w:cs="Times New Roman"/>
          <w:szCs w:val="24"/>
        </w:rPr>
      </w:pPr>
    </w:p>
    <w:p w14:paraId="4E4E5432" w14:textId="06310652" w:rsidR="00651D33" w:rsidRPr="004826D1" w:rsidRDefault="0012774A" w:rsidP="00F05B5A">
      <w:pPr>
        <w:pStyle w:val="Heading2"/>
        <w:spacing w:after="120"/>
        <w:rPr>
          <w:rFonts w:ascii="Times New Roman" w:hAnsi="Times New Roman"/>
          <w:sz w:val="24"/>
          <w:szCs w:val="24"/>
          <w:lang w:val="lv-LV"/>
        </w:rPr>
      </w:pPr>
      <w:bookmarkStart w:id="251" w:name="_Toc169602301"/>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.2.</w:t>
      </w:r>
      <w:r w:rsidR="00C71FCA" w:rsidRPr="004826D1">
        <w:rPr>
          <w:rFonts w:ascii="Times New Roman" w:hAnsi="Times New Roman"/>
          <w:sz w:val="24"/>
          <w:szCs w:val="24"/>
          <w:lang w:val="lv-LV"/>
        </w:rPr>
        <w:t xml:space="preserve"> </w:t>
      </w:r>
      <w:r w:rsidR="00651D33" w:rsidRPr="004826D1">
        <w:rPr>
          <w:rFonts w:ascii="Times New Roman" w:hAnsi="Times New Roman"/>
          <w:sz w:val="24"/>
          <w:szCs w:val="24"/>
          <w:lang w:val="lv-LV"/>
        </w:rPr>
        <w:t xml:space="preserve">Daļiņu </w:t>
      </w:r>
      <w:r w:rsidR="005D727D" w:rsidRPr="004826D1">
        <w:rPr>
          <w:rFonts w:ascii="Times New Roman" w:hAnsi="Times New Roman"/>
          <w:sz w:val="24"/>
          <w:szCs w:val="24"/>
          <w:lang w:val="lv-LV"/>
        </w:rPr>
        <w:t>PM</w:t>
      </w:r>
      <w:r w:rsidR="005D727D">
        <w:rPr>
          <w:rFonts w:ascii="Times New Roman" w:hAnsi="Times New Roman"/>
          <w:sz w:val="24"/>
          <w:szCs w:val="24"/>
          <w:vertAlign w:val="subscript"/>
          <w:lang w:val="lv-LV"/>
        </w:rPr>
        <w:t>10</w:t>
      </w:r>
      <w:r w:rsidR="005D727D" w:rsidRPr="004826D1">
        <w:rPr>
          <w:rFonts w:ascii="Times New Roman" w:hAnsi="Times New Roman"/>
          <w:sz w:val="24"/>
          <w:szCs w:val="24"/>
          <w:lang w:val="lv-LV"/>
        </w:rPr>
        <w:t xml:space="preserve"> </w:t>
      </w:r>
      <w:r w:rsidR="005D727D">
        <w:rPr>
          <w:rFonts w:ascii="Times New Roman" w:hAnsi="Times New Roman"/>
          <w:sz w:val="24"/>
          <w:szCs w:val="24"/>
          <w:lang w:val="lv-LV"/>
        </w:rPr>
        <w:t xml:space="preserve">un </w:t>
      </w:r>
      <w:r w:rsidR="00651D33" w:rsidRPr="004826D1">
        <w:rPr>
          <w:rFonts w:ascii="Times New Roman" w:hAnsi="Times New Roman"/>
          <w:sz w:val="24"/>
          <w:szCs w:val="24"/>
          <w:lang w:val="lv-LV"/>
        </w:rPr>
        <w:t>PM</w:t>
      </w:r>
      <w:r w:rsidR="00651D33" w:rsidRPr="004826D1">
        <w:rPr>
          <w:rFonts w:ascii="Times New Roman" w:hAnsi="Times New Roman"/>
          <w:sz w:val="24"/>
          <w:szCs w:val="24"/>
          <w:vertAlign w:val="subscript"/>
          <w:lang w:val="lv-LV"/>
        </w:rPr>
        <w:t>2,5</w:t>
      </w:r>
      <w:r w:rsidR="00651D33" w:rsidRPr="004826D1">
        <w:rPr>
          <w:rFonts w:ascii="Times New Roman" w:hAnsi="Times New Roman"/>
          <w:sz w:val="24"/>
          <w:szCs w:val="24"/>
          <w:lang w:val="lv-LV"/>
        </w:rPr>
        <w:t xml:space="preserve"> emisijas</w:t>
      </w:r>
      <w:bookmarkEnd w:id="251"/>
    </w:p>
    <w:p w14:paraId="2E00E9DE" w14:textId="5A8F70AF" w:rsidR="00011254" w:rsidRPr="004826D1" w:rsidRDefault="00C0591C" w:rsidP="00C0591C">
      <w:pPr>
        <w:jc w:val="both"/>
        <w:rPr>
          <w:rFonts w:cs="Times New Roman"/>
          <w:szCs w:val="24"/>
        </w:rPr>
      </w:pPr>
      <w:r w:rsidRPr="004826D1">
        <w:t xml:space="preserve">Galvenais </w:t>
      </w:r>
      <w:r w:rsidR="005D727D" w:rsidRPr="004826D1">
        <w:rPr>
          <w:szCs w:val="24"/>
        </w:rPr>
        <w:t>PM</w:t>
      </w:r>
      <w:r w:rsidR="005D727D">
        <w:rPr>
          <w:szCs w:val="24"/>
          <w:vertAlign w:val="subscript"/>
        </w:rPr>
        <w:t>10</w:t>
      </w:r>
      <w:r w:rsidR="005D727D" w:rsidRPr="004826D1">
        <w:rPr>
          <w:szCs w:val="24"/>
        </w:rPr>
        <w:t xml:space="preserve"> </w:t>
      </w:r>
      <w:r w:rsidR="005D727D">
        <w:rPr>
          <w:szCs w:val="24"/>
        </w:rPr>
        <w:t xml:space="preserve">un </w:t>
      </w:r>
      <w:r w:rsidRPr="004826D1">
        <w:t>PM</w:t>
      </w:r>
      <w:r w:rsidRPr="004826D1">
        <w:rPr>
          <w:vertAlign w:val="subscript"/>
        </w:rPr>
        <w:t xml:space="preserve">2,5 </w:t>
      </w:r>
      <w:r w:rsidRPr="004826D1">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sidR="005D727D" w:rsidRPr="004826D1">
        <w:rPr>
          <w:szCs w:val="24"/>
        </w:rPr>
        <w:t>PM</w:t>
      </w:r>
      <w:r w:rsidR="005D727D">
        <w:rPr>
          <w:szCs w:val="24"/>
          <w:vertAlign w:val="subscript"/>
        </w:rPr>
        <w:t>10</w:t>
      </w:r>
      <w:r w:rsidR="005D727D" w:rsidRPr="004826D1">
        <w:rPr>
          <w:szCs w:val="24"/>
        </w:rPr>
        <w:t xml:space="preserve"> </w:t>
      </w:r>
      <w:r w:rsidR="005D727D">
        <w:rPr>
          <w:szCs w:val="24"/>
        </w:rPr>
        <w:t xml:space="preserve">un </w:t>
      </w:r>
      <w:r w:rsidRPr="004826D1">
        <w:t>PM</w:t>
      </w:r>
      <w:r w:rsidRPr="004826D1">
        <w:rPr>
          <w:vertAlign w:val="subscript"/>
        </w:rPr>
        <w:t xml:space="preserve">2,5 </w:t>
      </w:r>
      <w:r w:rsidRPr="004826D1">
        <w:t xml:space="preserve">emisijām, tomēr pilsētvidē tieši autotransports ar dīzeļdzinējiem ir to galvenais avots. Tātad galvenie avoti ir </w:t>
      </w:r>
      <w:r w:rsidR="006F1096" w:rsidRPr="004826D1">
        <w:rPr>
          <w:rFonts w:cs="Times New Roman"/>
          <w:szCs w:val="24"/>
        </w:rPr>
        <w:t>ciet</w:t>
      </w:r>
      <w:r w:rsidRPr="004826D1">
        <w:rPr>
          <w:rFonts w:cs="Times New Roman"/>
          <w:szCs w:val="24"/>
        </w:rPr>
        <w:t>ā</w:t>
      </w:r>
      <w:r w:rsidR="006F1096" w:rsidRPr="004826D1">
        <w:rPr>
          <w:rFonts w:cs="Times New Roman"/>
          <w:szCs w:val="24"/>
        </w:rPr>
        <w:t xml:space="preserve"> fosil</w:t>
      </w:r>
      <w:r w:rsidRPr="004826D1">
        <w:rPr>
          <w:rFonts w:cs="Times New Roman"/>
          <w:szCs w:val="24"/>
        </w:rPr>
        <w:t>ā</w:t>
      </w:r>
      <w:r w:rsidR="006F1096" w:rsidRPr="004826D1">
        <w:rPr>
          <w:rFonts w:cs="Times New Roman"/>
          <w:szCs w:val="24"/>
        </w:rPr>
        <w:t xml:space="preserve"> kurinām</w:t>
      </w:r>
      <w:r w:rsidRPr="004826D1">
        <w:rPr>
          <w:rFonts w:cs="Times New Roman"/>
          <w:szCs w:val="24"/>
        </w:rPr>
        <w:t>ā</w:t>
      </w:r>
      <w:r w:rsidR="006F1096" w:rsidRPr="004826D1">
        <w:rPr>
          <w:rFonts w:cs="Times New Roman"/>
          <w:szCs w:val="24"/>
        </w:rPr>
        <w:t>, cietā</w:t>
      </w:r>
      <w:r w:rsidRPr="004826D1">
        <w:rPr>
          <w:rFonts w:cs="Times New Roman"/>
          <w:szCs w:val="24"/>
        </w:rPr>
        <w:t>s</w:t>
      </w:r>
      <w:r w:rsidR="006F1096" w:rsidRPr="004826D1">
        <w:rPr>
          <w:rFonts w:cs="Times New Roman"/>
          <w:szCs w:val="24"/>
        </w:rPr>
        <w:t xml:space="preserve"> un šķidrā</w:t>
      </w:r>
      <w:r w:rsidRPr="004826D1">
        <w:rPr>
          <w:rFonts w:cs="Times New Roman"/>
          <w:szCs w:val="24"/>
        </w:rPr>
        <w:t>s</w:t>
      </w:r>
      <w:r w:rsidR="006F1096" w:rsidRPr="004826D1">
        <w:rPr>
          <w:rFonts w:cs="Times New Roman"/>
          <w:szCs w:val="24"/>
        </w:rPr>
        <w:t xml:space="preserve"> biomasa</w:t>
      </w:r>
      <w:r w:rsidRPr="004826D1">
        <w:rPr>
          <w:rFonts w:cs="Times New Roman"/>
          <w:szCs w:val="24"/>
        </w:rPr>
        <w:t>s, kā arī naftas produktu sadedzināšana</w:t>
      </w:r>
      <w:r w:rsidR="006F1096" w:rsidRPr="004826D1">
        <w:rPr>
          <w:rFonts w:cs="Times New Roman"/>
          <w:szCs w:val="24"/>
        </w:rPr>
        <w:t xml:space="preserve">. </w:t>
      </w:r>
      <w:r w:rsidR="001503F4" w:rsidRPr="004826D1">
        <w:rPr>
          <w:rFonts w:cs="Times New Roman"/>
          <w:szCs w:val="24"/>
        </w:rPr>
        <w:t>Mērķa</w:t>
      </w:r>
      <w:r w:rsidR="006F1096" w:rsidRPr="004826D1">
        <w:rPr>
          <w:rFonts w:cs="Times New Roman"/>
          <w:szCs w:val="24"/>
        </w:rPr>
        <w:t xml:space="preserve"> scenārijā paredzētais būtiskais samazinājums naftas produktu patēriņā var tikai samazināt </w:t>
      </w:r>
      <w:r w:rsidR="005D727D" w:rsidRPr="004826D1">
        <w:rPr>
          <w:szCs w:val="24"/>
        </w:rPr>
        <w:t>PM</w:t>
      </w:r>
      <w:r w:rsidR="005D727D">
        <w:rPr>
          <w:szCs w:val="24"/>
          <w:vertAlign w:val="subscript"/>
        </w:rPr>
        <w:t>10</w:t>
      </w:r>
      <w:r w:rsidR="005D727D">
        <w:rPr>
          <w:szCs w:val="24"/>
        </w:rPr>
        <w:t xml:space="preserve"> un </w:t>
      </w:r>
      <w:r w:rsidR="008F7261" w:rsidRPr="004826D1">
        <w:t>PM</w:t>
      </w:r>
      <w:r w:rsidR="008F7261" w:rsidRPr="004826D1">
        <w:rPr>
          <w:vertAlign w:val="subscript"/>
        </w:rPr>
        <w:t xml:space="preserve">2,5 </w:t>
      </w:r>
      <w:r w:rsidR="006F1096" w:rsidRPr="004826D1">
        <w:rPr>
          <w:rFonts w:cs="Times New Roman"/>
          <w:szCs w:val="24"/>
        </w:rPr>
        <w:t>emisijas</w:t>
      </w:r>
      <w:r w:rsidR="00011254" w:rsidRPr="004826D1">
        <w:rPr>
          <w:rFonts w:cs="Times New Roman"/>
          <w:szCs w:val="24"/>
        </w:rPr>
        <w:t xml:space="preserve">, ko vēl vairāk samazina dīzeļdzinēju īpatsvara mazināšana (kā arī dīzeļdzinēju parka uzlabošana līdz EURO 6 standartam). </w:t>
      </w:r>
      <w:r w:rsidR="008F2378" w:rsidRPr="004826D1">
        <w:rPr>
          <w:rFonts w:cs="Times New Roman"/>
          <w:szCs w:val="24"/>
        </w:rPr>
        <w:t>C</w:t>
      </w:r>
      <w:r w:rsidR="006F1096" w:rsidRPr="004826D1">
        <w:rPr>
          <w:rFonts w:cs="Times New Roman"/>
          <w:szCs w:val="24"/>
        </w:rPr>
        <w:t xml:space="preserve">ietā fosilā kurināmā </w:t>
      </w:r>
      <w:r w:rsidR="008F2378" w:rsidRPr="004826D1">
        <w:rPr>
          <w:rFonts w:cs="Times New Roman"/>
          <w:szCs w:val="24"/>
        </w:rPr>
        <w:t>un c</w:t>
      </w:r>
      <w:r w:rsidR="00011254" w:rsidRPr="004826D1">
        <w:rPr>
          <w:rFonts w:cs="Times New Roman"/>
          <w:szCs w:val="24"/>
        </w:rPr>
        <w:t>ietās biomasas patēriņ</w:t>
      </w:r>
      <w:r w:rsidR="008F2378" w:rsidRPr="004826D1">
        <w:rPr>
          <w:rFonts w:cs="Times New Roman"/>
          <w:szCs w:val="24"/>
        </w:rPr>
        <w:t>a</w:t>
      </w:r>
      <w:r w:rsidR="00011254" w:rsidRPr="004826D1">
        <w:rPr>
          <w:rFonts w:cs="Times New Roman"/>
          <w:szCs w:val="24"/>
        </w:rPr>
        <w:t xml:space="preserve"> </w:t>
      </w:r>
      <w:r w:rsidR="008F2378" w:rsidRPr="004826D1">
        <w:rPr>
          <w:rFonts w:cs="Times New Roman"/>
          <w:szCs w:val="24"/>
        </w:rPr>
        <w:t>niecīgās izmaiņas ir vērā neņemamas</w:t>
      </w:r>
      <w:r w:rsidR="00011254" w:rsidRPr="004826D1">
        <w:rPr>
          <w:rFonts w:cs="Times New Roman"/>
          <w:szCs w:val="24"/>
        </w:rPr>
        <w:t xml:space="preserve">. </w:t>
      </w:r>
      <w:r w:rsidR="00C661B0" w:rsidRPr="004826D1">
        <w:rPr>
          <w:rFonts w:cs="Times New Roman"/>
          <w:szCs w:val="24"/>
        </w:rPr>
        <w:t>Š</w:t>
      </w:r>
      <w:r w:rsidR="00011254" w:rsidRPr="004826D1">
        <w:rPr>
          <w:rFonts w:cs="Times New Roman"/>
          <w:szCs w:val="24"/>
        </w:rPr>
        <w:t xml:space="preserve">ķidrās biomasas patēriņa pieaugums ir </w:t>
      </w:r>
      <w:r w:rsidR="00C661B0" w:rsidRPr="004826D1">
        <w:rPr>
          <w:rFonts w:cs="Times New Roman"/>
          <w:szCs w:val="24"/>
        </w:rPr>
        <w:t>praktiski vienāds ar</w:t>
      </w:r>
      <w:r w:rsidR="00011254" w:rsidRPr="004826D1">
        <w:rPr>
          <w:rFonts w:cs="Times New Roman"/>
          <w:szCs w:val="24"/>
        </w:rPr>
        <w:t xml:space="preserve"> naftas produkt</w:t>
      </w:r>
      <w:r w:rsidR="00C661B0" w:rsidRPr="004826D1">
        <w:rPr>
          <w:rFonts w:cs="Times New Roman"/>
          <w:szCs w:val="24"/>
        </w:rPr>
        <w:t>u patēriņa samazinājumu</w:t>
      </w:r>
      <w:r w:rsidR="00011254" w:rsidRPr="004826D1">
        <w:rPr>
          <w:rFonts w:cs="Times New Roman"/>
          <w:szCs w:val="24"/>
        </w:rPr>
        <w:t>.</w:t>
      </w:r>
    </w:p>
    <w:p w14:paraId="7418B792" w14:textId="77777777" w:rsidR="000E603C" w:rsidRDefault="000E603C" w:rsidP="000E603C">
      <w:pPr>
        <w:spacing w:before="120" w:after="120"/>
        <w:jc w:val="both"/>
        <w:rPr>
          <w:rFonts w:cs="Times New Roman"/>
          <w:szCs w:val="24"/>
          <w:lang w:eastAsia="lv-LV"/>
        </w:rPr>
      </w:pPr>
      <w:r w:rsidRPr="004826D1">
        <w:rPr>
          <w:rFonts w:cs="Times New Roman"/>
          <w:szCs w:val="24"/>
          <w:lang w:eastAsia="lv-LV"/>
        </w:rPr>
        <w:t>Plāna ietvaros nav pamata konstatēt negatīvu ietekmi no biomasas patēriņa pieauguma radītiem cieto daļiņu izmešiem, jo Plāna kopējo rezultātu modelēšana uzrāda pozitīvu ietekmi pēc šā rādītāja, savukārt cieto daļiņu izmešu mazināšanas tehnoloģijas, kas nepieciešamas šā rezultāta sekmēšanai, ir ārpus NEKP tvēruma: tās ir jau noteiktas Gaisa piesārņojuma samazināšanas rīcības plānā (VARAM, 2019).</w:t>
      </w:r>
    </w:p>
    <w:p w14:paraId="13596E5F" w14:textId="0C142996" w:rsidR="00207236" w:rsidRPr="004826D1" w:rsidRDefault="00207236" w:rsidP="000E603C">
      <w:pPr>
        <w:spacing w:before="120" w:after="120"/>
        <w:jc w:val="both"/>
        <w:rPr>
          <w:rFonts w:cs="Times New Roman"/>
          <w:szCs w:val="24"/>
          <w:lang w:eastAsia="lv-LV"/>
        </w:rPr>
      </w:pPr>
      <w:r w:rsidRPr="00207236">
        <w:rPr>
          <w:rFonts w:cs="Times New Roman"/>
          <w:szCs w:val="24"/>
          <w:lang w:eastAsia="lv-LV"/>
        </w:rPr>
        <w:t xml:space="preserve">Plāna ietekme </w:t>
      </w:r>
      <w:r>
        <w:rPr>
          <w:rFonts w:cs="Times New Roman"/>
          <w:szCs w:val="24"/>
          <w:lang w:eastAsia="lv-LV"/>
        </w:rPr>
        <w:t xml:space="preserve">ir nedaudz </w:t>
      </w:r>
      <w:r w:rsidRPr="00207236">
        <w:rPr>
          <w:rFonts w:cs="Times New Roman"/>
          <w:szCs w:val="24"/>
          <w:lang w:eastAsia="lv-LV"/>
        </w:rPr>
        <w:t>pozitīva</w:t>
      </w:r>
      <w:r>
        <w:rPr>
          <w:rFonts w:cs="Times New Roman"/>
          <w:szCs w:val="24"/>
          <w:lang w:eastAsia="lv-LV"/>
        </w:rPr>
        <w:t xml:space="preserve"> sakarā ar </w:t>
      </w:r>
      <w:r w:rsidRPr="00207236">
        <w:rPr>
          <w:rFonts w:cs="Times New Roman"/>
          <w:szCs w:val="24"/>
          <w:lang w:eastAsia="lv-LV"/>
        </w:rPr>
        <w:t>centralizētās siltumapgādes elektrifikāciju un individuālās siltumapgādes (mājsaimniecīb</w:t>
      </w:r>
      <w:r>
        <w:rPr>
          <w:rFonts w:cs="Times New Roman"/>
          <w:szCs w:val="24"/>
          <w:lang w:eastAsia="lv-LV"/>
        </w:rPr>
        <w:t xml:space="preserve">ām ar </w:t>
      </w:r>
      <w:r w:rsidRPr="00207236">
        <w:rPr>
          <w:rFonts w:cs="Times New Roman"/>
          <w:szCs w:val="24"/>
          <w:lang w:eastAsia="lv-LV"/>
        </w:rPr>
        <w:t>līdz 80% cietās biomasas īpatsvar</w:t>
      </w:r>
      <w:r>
        <w:rPr>
          <w:rFonts w:cs="Times New Roman"/>
          <w:szCs w:val="24"/>
          <w:lang w:eastAsia="lv-LV"/>
        </w:rPr>
        <w:t>u</w:t>
      </w:r>
      <w:r w:rsidRPr="00207236">
        <w:rPr>
          <w:rFonts w:cs="Times New Roman"/>
          <w:szCs w:val="24"/>
          <w:lang w:eastAsia="lv-LV"/>
        </w:rPr>
        <w:t>, komersanti</w:t>
      </w:r>
      <w:r>
        <w:rPr>
          <w:rFonts w:cs="Times New Roman"/>
          <w:szCs w:val="24"/>
          <w:lang w:eastAsia="lv-LV"/>
        </w:rPr>
        <w:t>em</w:t>
      </w:r>
      <w:r w:rsidRPr="00207236">
        <w:rPr>
          <w:rFonts w:cs="Times New Roman"/>
          <w:szCs w:val="24"/>
          <w:lang w:eastAsia="lv-LV"/>
        </w:rPr>
        <w:t>, rūpniecība</w:t>
      </w:r>
      <w:r>
        <w:rPr>
          <w:rFonts w:cs="Times New Roman"/>
          <w:szCs w:val="24"/>
          <w:lang w:eastAsia="lv-LV"/>
        </w:rPr>
        <w:t>i</w:t>
      </w:r>
      <w:r w:rsidRPr="00207236">
        <w:rPr>
          <w:rFonts w:cs="Times New Roman"/>
          <w:szCs w:val="24"/>
          <w:lang w:eastAsia="lv-LV"/>
        </w:rPr>
        <w:t>) energoefektivitātes uzlabošanu</w:t>
      </w:r>
      <w:r>
        <w:rPr>
          <w:rFonts w:cs="Times New Roman"/>
          <w:szCs w:val="24"/>
          <w:lang w:eastAsia="lv-LV"/>
        </w:rPr>
        <w:t>.</w:t>
      </w:r>
    </w:p>
    <w:p w14:paraId="734758A4" w14:textId="24B0258F" w:rsidR="006F1096" w:rsidRPr="004826D1" w:rsidRDefault="006F1096" w:rsidP="006F1096">
      <w:pPr>
        <w:jc w:val="both"/>
        <w:rPr>
          <w:rFonts w:cs="Times New Roman"/>
          <w:szCs w:val="24"/>
        </w:rPr>
      </w:pPr>
      <w:r w:rsidRPr="004826D1">
        <w:rPr>
          <w:rFonts w:cs="Times New Roman"/>
          <w:szCs w:val="24"/>
        </w:rPr>
        <w:t xml:space="preserve">Plāna ietekme ir </w:t>
      </w:r>
      <w:r w:rsidR="00207236">
        <w:rPr>
          <w:rFonts w:cs="Times New Roman"/>
          <w:szCs w:val="24"/>
        </w:rPr>
        <w:t>pozitīva</w:t>
      </w:r>
      <w:r w:rsidRPr="004826D1">
        <w:rPr>
          <w:rFonts w:cs="Times New Roman"/>
          <w:szCs w:val="24"/>
        </w:rPr>
        <w:t>.</w:t>
      </w:r>
    </w:p>
    <w:p w14:paraId="13208E7B" w14:textId="77777777" w:rsidR="006F1096" w:rsidRPr="004826D1" w:rsidRDefault="006F1096" w:rsidP="00651D33">
      <w:pPr>
        <w:jc w:val="both"/>
        <w:rPr>
          <w:rFonts w:cs="Times New Roman"/>
          <w:szCs w:val="24"/>
        </w:rPr>
      </w:pPr>
    </w:p>
    <w:p w14:paraId="6306C4BF" w14:textId="77777777" w:rsidR="006F1096" w:rsidRPr="004826D1" w:rsidRDefault="006F1096" w:rsidP="00651D33">
      <w:pPr>
        <w:jc w:val="both"/>
        <w:rPr>
          <w:rFonts w:cs="Times New Roman"/>
          <w:szCs w:val="24"/>
        </w:rPr>
      </w:pPr>
    </w:p>
    <w:p w14:paraId="15B6B8D8" w14:textId="77777777" w:rsidR="00651D33" w:rsidRPr="004826D1" w:rsidRDefault="0012774A" w:rsidP="00F05B5A">
      <w:pPr>
        <w:pStyle w:val="Heading2"/>
        <w:spacing w:after="120"/>
        <w:rPr>
          <w:rFonts w:ascii="Times New Roman" w:hAnsi="Times New Roman"/>
          <w:sz w:val="24"/>
          <w:szCs w:val="24"/>
          <w:lang w:val="lv-LV"/>
        </w:rPr>
      </w:pPr>
      <w:bookmarkStart w:id="252" w:name="_Toc169602302"/>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.3. Sēra dioksīda emisijas</w:t>
      </w:r>
      <w:bookmarkEnd w:id="252"/>
    </w:p>
    <w:p w14:paraId="1DDDE7B3" w14:textId="77777777" w:rsidR="00E17D1B" w:rsidRPr="004826D1" w:rsidRDefault="00651D33" w:rsidP="00F05B5A">
      <w:pPr>
        <w:spacing w:after="120"/>
        <w:jc w:val="both"/>
      </w:pPr>
      <w:r w:rsidRPr="004826D1">
        <w:t>SO</w:t>
      </w:r>
      <w:r w:rsidRPr="004826D1">
        <w:rPr>
          <w:vertAlign w:val="subscript"/>
        </w:rPr>
        <w:t>2</w:t>
      </w:r>
      <w:r w:rsidRPr="004826D1">
        <w:t xml:space="preserve"> </w:t>
      </w:r>
      <w:r w:rsidRPr="004826D1">
        <w:rPr>
          <w:rFonts w:cs="Times New Roman"/>
          <w:szCs w:val="24"/>
        </w:rPr>
        <w:t xml:space="preserve">galvenie avoti ir </w:t>
      </w:r>
      <w:r w:rsidR="00102018" w:rsidRPr="004826D1">
        <w:rPr>
          <w:rFonts w:cs="Times New Roman"/>
          <w:szCs w:val="24"/>
        </w:rPr>
        <w:t xml:space="preserve">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w:t>
      </w:r>
      <w:r w:rsidR="00FA0471" w:rsidRPr="004826D1">
        <w:rPr>
          <w:rFonts w:cs="Times New Roman"/>
          <w:szCs w:val="24"/>
        </w:rPr>
        <w:t xml:space="preserve">šķidrās biomasas </w:t>
      </w:r>
      <w:r w:rsidR="00E17D1B" w:rsidRPr="004826D1">
        <w:rPr>
          <w:rFonts w:cs="Times New Roman"/>
          <w:szCs w:val="24"/>
        </w:rPr>
        <w:t xml:space="preserve">(biodegvielas) </w:t>
      </w:r>
      <w:r w:rsidR="00FA0471" w:rsidRPr="004826D1">
        <w:rPr>
          <w:rFonts w:cs="Times New Roman"/>
          <w:szCs w:val="24"/>
        </w:rPr>
        <w:t xml:space="preserve">apjoma pieaugums apmēram </w:t>
      </w:r>
      <w:r w:rsidR="00E17D1B" w:rsidRPr="004826D1">
        <w:rPr>
          <w:rFonts w:cs="Times New Roman"/>
          <w:szCs w:val="24"/>
        </w:rPr>
        <w:t xml:space="preserve">atbilst tās attiecīgi aizstātajiem naftas produktiem. Rezultējošā ietekme uz </w:t>
      </w:r>
      <w:r w:rsidR="00E17D1B" w:rsidRPr="004826D1">
        <w:t>SO</w:t>
      </w:r>
      <w:r w:rsidR="00E17D1B" w:rsidRPr="004826D1">
        <w:rPr>
          <w:vertAlign w:val="subscript"/>
        </w:rPr>
        <w:t>2</w:t>
      </w:r>
      <w:r w:rsidR="00E17D1B" w:rsidRPr="004826D1">
        <w:t xml:space="preserve"> </w:t>
      </w:r>
      <w:r w:rsidR="00E17D1B" w:rsidRPr="004826D1">
        <w:rPr>
          <w:rFonts w:cs="Times New Roman"/>
          <w:szCs w:val="24"/>
        </w:rPr>
        <w:t xml:space="preserve">izmešiem būs apmēram neitrāla, augstas precizitātes aprēķini nav lietderīgi, jo Bāzes scenārijā jau esošā </w:t>
      </w:r>
      <w:r w:rsidR="00E17D1B" w:rsidRPr="004826D1">
        <w:t xml:space="preserve">7,8 % </w:t>
      </w:r>
      <w:r w:rsidR="00E17D1B" w:rsidRPr="004826D1">
        <w:rPr>
          <w:rFonts w:cs="Times New Roman"/>
          <w:szCs w:val="24"/>
        </w:rPr>
        <w:t xml:space="preserve">rezerve </w:t>
      </w:r>
      <w:r w:rsidR="00E17D1B" w:rsidRPr="004826D1">
        <w:t>līdz emisiju mērķim ir garantēti droša šā mērķa nepārsniegšanai.</w:t>
      </w:r>
    </w:p>
    <w:p w14:paraId="650E7E77" w14:textId="77777777" w:rsidR="00651D33" w:rsidRDefault="00E17D1B" w:rsidP="00651D33">
      <w:pPr>
        <w:jc w:val="both"/>
      </w:pPr>
      <w:r w:rsidRPr="004826D1">
        <w:t>Plāna ietekme ir neitrāla.</w:t>
      </w:r>
    </w:p>
    <w:p w14:paraId="3057A4FA" w14:textId="77777777" w:rsidR="00356DEB" w:rsidRPr="004826D1" w:rsidRDefault="00356DEB" w:rsidP="00651D33">
      <w:pPr>
        <w:jc w:val="both"/>
        <w:rPr>
          <w:rFonts w:cs="Times New Roman"/>
          <w:szCs w:val="24"/>
        </w:rPr>
      </w:pPr>
    </w:p>
    <w:p w14:paraId="78167D29" w14:textId="77777777" w:rsidR="00651D33" w:rsidRPr="004826D1" w:rsidRDefault="00651D33" w:rsidP="00651D33">
      <w:pPr>
        <w:jc w:val="both"/>
        <w:rPr>
          <w:rFonts w:cs="Times New Roman"/>
          <w:szCs w:val="24"/>
        </w:rPr>
      </w:pPr>
    </w:p>
    <w:p w14:paraId="11CC773F" w14:textId="77777777" w:rsidR="00651D33" w:rsidRPr="004826D1" w:rsidRDefault="0012774A" w:rsidP="00F05B5A">
      <w:pPr>
        <w:pStyle w:val="Heading2"/>
        <w:spacing w:after="120"/>
        <w:rPr>
          <w:rFonts w:ascii="Times New Roman" w:hAnsi="Times New Roman"/>
          <w:sz w:val="24"/>
          <w:szCs w:val="24"/>
          <w:lang w:val="lv-LV"/>
        </w:rPr>
      </w:pPr>
      <w:bookmarkStart w:id="253" w:name="_Toc169602303"/>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.4. Nemetāna gaistošo organisko savienojumu emisijas</w:t>
      </w:r>
      <w:bookmarkEnd w:id="253"/>
    </w:p>
    <w:p w14:paraId="6C076E59" w14:textId="77777777" w:rsidR="00F05B5A" w:rsidRPr="004826D1" w:rsidRDefault="00651D33" w:rsidP="00F05B5A">
      <w:pPr>
        <w:spacing w:after="120"/>
        <w:jc w:val="both"/>
      </w:pPr>
      <w:r w:rsidRPr="004826D1">
        <w:t xml:space="preserve">NMGOS </w:t>
      </w:r>
      <w:r w:rsidRPr="004826D1">
        <w:rPr>
          <w:rFonts w:cs="Times New Roman"/>
          <w:szCs w:val="24"/>
        </w:rPr>
        <w:t>galvenie avoti ir</w:t>
      </w:r>
      <w:r w:rsidR="00CD3FCE" w:rsidRPr="004826D1">
        <w:rPr>
          <w:rFonts w:cs="Times New Roman"/>
          <w:szCs w:val="24"/>
        </w:rPr>
        <w:t xml:space="preserve">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izmešus pārsvarā rada nevis sadegšanas, bet gan pārkraušanas procesos, iztvaikojot vieglajām frakcijām, kas nav raksturīgi naftas produktus aizstājošajai biodegvielai, tāpēc šīs aizstāšanas rezultātā šie izmešu daudzums nevis nemainīsies, bet samazināsies. Rezultējošā ietekme uz </w:t>
      </w:r>
      <w:r w:rsidR="00CD3FCE" w:rsidRPr="004826D1">
        <w:t xml:space="preserve">NMGOS izmešiem pēc maksimālās piesardzības principa būs neitrāla, kaut gan patiesībā drīzāk – samazinoša. </w:t>
      </w:r>
      <w:r w:rsidR="00CD3FCE" w:rsidRPr="004826D1">
        <w:rPr>
          <w:rFonts w:cs="Times New Roman"/>
          <w:szCs w:val="24"/>
        </w:rPr>
        <w:t xml:space="preserve">Augstas precizitātes aprēķini </w:t>
      </w:r>
      <w:r w:rsidR="00CD3FCE" w:rsidRPr="004826D1">
        <w:rPr>
          <w:rFonts w:cs="Times New Roman"/>
          <w:szCs w:val="24"/>
        </w:rPr>
        <w:lastRenderedPageBreak/>
        <w:t xml:space="preserve">nav lietderīgi, jo Bāzes scenārijā jau esošā </w:t>
      </w:r>
      <w:r w:rsidR="00CD3FCE" w:rsidRPr="004826D1">
        <w:t xml:space="preserve">6,9 % </w:t>
      </w:r>
      <w:r w:rsidR="00CD3FCE" w:rsidRPr="004826D1">
        <w:rPr>
          <w:rFonts w:cs="Times New Roman"/>
          <w:szCs w:val="24"/>
        </w:rPr>
        <w:t xml:space="preserve">rezerve </w:t>
      </w:r>
      <w:r w:rsidR="00CD3FCE" w:rsidRPr="004826D1">
        <w:t>līdz emisiju mērķim ir garantēti droša šā mērķa nepārsniegšanai.</w:t>
      </w:r>
    </w:p>
    <w:p w14:paraId="74212A97" w14:textId="77777777" w:rsidR="00651D33" w:rsidRPr="004826D1" w:rsidRDefault="00CD3FCE" w:rsidP="00F05B5A">
      <w:pPr>
        <w:spacing w:after="120"/>
        <w:jc w:val="both"/>
      </w:pPr>
      <w:r w:rsidRPr="004826D1">
        <w:t>Plāna ietekme ir neitrāla.</w:t>
      </w:r>
    </w:p>
    <w:p w14:paraId="376BD02D" w14:textId="77777777" w:rsidR="00F05B5A" w:rsidRPr="004826D1" w:rsidRDefault="00F05B5A" w:rsidP="00F05B5A">
      <w:pPr>
        <w:spacing w:after="120"/>
        <w:jc w:val="both"/>
        <w:rPr>
          <w:szCs w:val="24"/>
        </w:rPr>
      </w:pPr>
    </w:p>
    <w:p w14:paraId="3E1E28C9" w14:textId="77777777" w:rsidR="00651D33" w:rsidRPr="004826D1" w:rsidRDefault="0012774A" w:rsidP="00F05B5A">
      <w:pPr>
        <w:pStyle w:val="Heading2"/>
        <w:spacing w:after="120"/>
        <w:rPr>
          <w:rFonts w:ascii="Times New Roman" w:hAnsi="Times New Roman"/>
          <w:sz w:val="24"/>
          <w:szCs w:val="24"/>
          <w:lang w:val="lv-LV"/>
        </w:rPr>
      </w:pPr>
      <w:bookmarkStart w:id="254" w:name="_Toc169602304"/>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.5. Amonjaka emisijas</w:t>
      </w:r>
      <w:bookmarkEnd w:id="254"/>
    </w:p>
    <w:p w14:paraId="260F8A14" w14:textId="77777777" w:rsidR="00651D33" w:rsidRPr="004826D1" w:rsidRDefault="00651D33" w:rsidP="00F05B5A">
      <w:pPr>
        <w:spacing w:after="120"/>
        <w:jc w:val="both"/>
      </w:pPr>
      <w:r w:rsidRPr="004826D1">
        <w:t>Amonjaka emisiju galvenais avots ir lauksaimnieciskā darbība, turklāt ar enerģētiku nesaistīta lauks</w:t>
      </w:r>
      <w:r w:rsidR="00CD3FCE" w:rsidRPr="004826D1">
        <w:t xml:space="preserve">aimnieciskā darbība, tāpēc Plāna galvenā – enerģētikas – daļa </w:t>
      </w:r>
      <w:r w:rsidRPr="004826D1">
        <w:t>attiecībā uz šīm emisijām ir neitrāl</w:t>
      </w:r>
      <w:r w:rsidR="00CD3FCE" w:rsidRPr="004826D1">
        <w:t>a</w:t>
      </w:r>
      <w:r w:rsidRPr="004826D1">
        <w:rPr>
          <w:szCs w:val="24"/>
        </w:rPr>
        <w:t>.</w:t>
      </w:r>
      <w:r w:rsidRPr="004826D1">
        <w:rPr>
          <w:iCs/>
          <w:szCs w:val="24"/>
        </w:rPr>
        <w:t xml:space="preserve"> </w:t>
      </w:r>
      <w:r w:rsidR="00CD3FCE" w:rsidRPr="004826D1">
        <w:rPr>
          <w:iCs/>
          <w:szCs w:val="24"/>
        </w:rPr>
        <w:t xml:space="preserve">Papildus plāna 8.rīcības virziens paredz pasākumus tieši lauksaimniecībā – precīzā minerālmēslu lietošanā, organiskā mēslojuma tiešajā iestrādē un </w:t>
      </w:r>
      <w:r w:rsidR="000D5B01" w:rsidRPr="004826D1">
        <w:rPr>
          <w:iCs/>
          <w:szCs w:val="24"/>
        </w:rPr>
        <w:t>bioloģiskajā piena lopkopībā –, kas nedaudz samazina amonjaka emisijas.</w:t>
      </w:r>
      <w:r w:rsidR="00C14959" w:rsidRPr="004826D1">
        <w:rPr>
          <w:iCs/>
          <w:szCs w:val="24"/>
        </w:rPr>
        <w:t xml:space="preserve"> Plāna nelielā ietekme ir drīzāk nedaudz pozitīva, bet </w:t>
      </w:r>
      <w:r w:rsidR="00C14959" w:rsidRPr="004826D1">
        <w:t xml:space="preserve">pēc maksimālās piesardzības principa, ņemot vērā arī Bāzes scenārija nelielo rezervi līdz emisiju mērķim – tikai 2,1 % </w:t>
      </w:r>
      <w:r w:rsidR="007643A4" w:rsidRPr="004826D1">
        <w:t xml:space="preserve">– korektāk vērtējama kā </w:t>
      </w:r>
      <w:r w:rsidR="00C14959" w:rsidRPr="004826D1">
        <w:t>neitrāla</w:t>
      </w:r>
      <w:r w:rsidR="007643A4" w:rsidRPr="004826D1">
        <w:t>.</w:t>
      </w:r>
    </w:p>
    <w:p w14:paraId="3D30D9B0" w14:textId="77777777" w:rsidR="007643A4" w:rsidRPr="004826D1" w:rsidRDefault="007643A4" w:rsidP="00F05B5A">
      <w:pPr>
        <w:spacing w:after="120"/>
        <w:jc w:val="both"/>
        <w:rPr>
          <w:rFonts w:cs="Times New Roman"/>
          <w:szCs w:val="24"/>
        </w:rPr>
      </w:pPr>
      <w:r w:rsidRPr="004826D1">
        <w:t>Plāna ietekme ir neitrāla.</w:t>
      </w:r>
    </w:p>
    <w:p w14:paraId="161C062A" w14:textId="77777777" w:rsidR="00651D33" w:rsidRPr="004826D1" w:rsidRDefault="00651D33" w:rsidP="00F05B5A">
      <w:pPr>
        <w:spacing w:after="120"/>
        <w:rPr>
          <w:szCs w:val="24"/>
        </w:rPr>
      </w:pPr>
    </w:p>
    <w:p w14:paraId="4C2528D6" w14:textId="77777777" w:rsidR="00651D33" w:rsidRPr="004826D1" w:rsidRDefault="0012774A" w:rsidP="00F05B5A">
      <w:pPr>
        <w:pStyle w:val="Heading2"/>
        <w:spacing w:after="120"/>
        <w:rPr>
          <w:rFonts w:ascii="Times New Roman" w:hAnsi="Times New Roman"/>
          <w:sz w:val="24"/>
          <w:szCs w:val="24"/>
          <w:lang w:val="lv-LV"/>
        </w:rPr>
      </w:pPr>
      <w:bookmarkStart w:id="255" w:name="_Toc169602305"/>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.6. Kopējās emisijas</w:t>
      </w:r>
      <w:bookmarkEnd w:id="255"/>
    </w:p>
    <w:p w14:paraId="489C80B2" w14:textId="7919FA19" w:rsidR="00651D33" w:rsidRPr="004826D1" w:rsidRDefault="00377521" w:rsidP="00F05B5A">
      <w:pPr>
        <w:spacing w:after="120"/>
        <w:jc w:val="both"/>
      </w:pPr>
      <w:r w:rsidRPr="004826D1">
        <w:t xml:space="preserve">No </w:t>
      </w:r>
      <w:r w:rsidR="00651D33" w:rsidRPr="004826D1">
        <w:t>šā relatīvā novērtējuma</w:t>
      </w:r>
      <w:r w:rsidR="00FD7BEA" w:rsidRPr="004826D1">
        <w:t xml:space="preserve"> pa emisiju veidiem</w:t>
      </w:r>
      <w:r w:rsidR="00651D33" w:rsidRPr="004826D1">
        <w:t xml:space="preserve">, </w:t>
      </w:r>
      <w:r w:rsidRPr="004826D1">
        <w:t xml:space="preserve">kurā </w:t>
      </w:r>
      <w:r w:rsidR="00FD7BEA" w:rsidRPr="004826D1">
        <w:t>Mērķa</w:t>
      </w:r>
      <w:r w:rsidRPr="004826D1">
        <w:t xml:space="preserve"> scenārijam salīdzinājumā ar </w:t>
      </w:r>
      <w:r w:rsidR="00FD7BEA" w:rsidRPr="004826D1">
        <w:t>Bāzes scenāriju</w:t>
      </w:r>
      <w:r w:rsidR="00651D33" w:rsidRPr="004826D1">
        <w:t xml:space="preserve"> jāņem vērā arī Plānā paredzēto energoekonomijas pasākumu prognozētais rezultāts: kopēj</w:t>
      </w:r>
      <w:r w:rsidR="007643A4" w:rsidRPr="004826D1">
        <w:t>ā</w:t>
      </w:r>
      <w:r w:rsidR="00651D33" w:rsidRPr="004826D1">
        <w:t xml:space="preserve"> primārās enerģijas patēriņ</w:t>
      </w:r>
      <w:r w:rsidR="007643A4" w:rsidRPr="004826D1">
        <w:t>a</w:t>
      </w:r>
      <w:r w:rsidR="00651D33" w:rsidRPr="004826D1">
        <w:t xml:space="preserve"> 2030.</w:t>
      </w:r>
      <w:r w:rsidR="007643A4" w:rsidRPr="004826D1">
        <w:t> </w:t>
      </w:r>
      <w:r w:rsidR="00651D33" w:rsidRPr="004826D1">
        <w:t>gadā</w:t>
      </w:r>
      <w:r w:rsidR="007643A4" w:rsidRPr="004826D1">
        <w:t xml:space="preserve"> </w:t>
      </w:r>
      <w:r w:rsidR="001503F4" w:rsidRPr="004826D1">
        <w:t>Mērķa</w:t>
      </w:r>
      <w:r w:rsidR="007643A4" w:rsidRPr="004826D1">
        <w:t xml:space="preserve"> scenārijā samazinājums par 2,1 % salīdzinājumā ar Bāzes scenāriju. </w:t>
      </w:r>
      <w:r w:rsidR="00651D33" w:rsidRPr="004826D1">
        <w:t>Līdz ar to Plāna ieviestās izmaiņas starp enerģētikas sektoru samēriem, kas kopumā sniedz pozitīvu ietekmi uz izmešu samazinājumu, absolūtos skaitļos izmešus samazinās pat vēl nedaudz vairāk.</w:t>
      </w:r>
    </w:p>
    <w:p w14:paraId="614DB0BA" w14:textId="77777777" w:rsidR="00F677D1" w:rsidRPr="004826D1" w:rsidRDefault="00F677D1" w:rsidP="00F677D1">
      <w:pPr>
        <w:spacing w:after="120"/>
        <w:ind w:firstLine="720"/>
        <w:jc w:val="both"/>
        <w:rPr>
          <w:i/>
          <w:u w:val="single"/>
          <w:lang w:eastAsia="lv-LV"/>
        </w:rPr>
      </w:pPr>
      <w:r w:rsidRPr="004826D1">
        <w:rPr>
          <w:i/>
          <w:u w:val="single"/>
          <w:lang w:eastAsia="lv-LV"/>
        </w:rPr>
        <w:t>Vērtējums: +1, tieša, ilgtermiņa, primāra, neatgriezeniska</w:t>
      </w:r>
      <w:r w:rsidR="00C71FCA" w:rsidRPr="004826D1">
        <w:rPr>
          <w:i/>
          <w:u w:val="single"/>
          <w:lang w:eastAsia="lv-LV"/>
        </w:rPr>
        <w:t xml:space="preserve"> </w:t>
      </w:r>
      <w:r w:rsidRPr="004826D1">
        <w:rPr>
          <w:i/>
          <w:u w:val="single"/>
          <w:lang w:eastAsia="lv-LV"/>
        </w:rPr>
        <w:t>(pieņemot, ka videi draudzīgas enerģētikas attīstība nebeigsies)</w:t>
      </w:r>
      <w:r w:rsidR="00C71FCA" w:rsidRPr="004826D1">
        <w:rPr>
          <w:i/>
          <w:u w:val="single"/>
          <w:lang w:eastAsia="lv-LV"/>
        </w:rPr>
        <w:t xml:space="preserve"> </w:t>
      </w:r>
      <w:r w:rsidRPr="004826D1">
        <w:rPr>
          <w:i/>
          <w:u w:val="single"/>
          <w:lang w:eastAsia="lv-LV"/>
        </w:rPr>
        <w:t>ietekme.</w:t>
      </w:r>
    </w:p>
    <w:p w14:paraId="7C81B8FE" w14:textId="77777777" w:rsidR="00651D33" w:rsidRPr="004826D1" w:rsidRDefault="00651D33" w:rsidP="00651D33">
      <w:pPr>
        <w:pStyle w:val="Heading2"/>
        <w:spacing w:after="120"/>
        <w:jc w:val="both"/>
        <w:rPr>
          <w:rFonts w:ascii="Times New Roman" w:hAnsi="Times New Roman"/>
          <w:lang w:val="lv-LV"/>
        </w:rPr>
      </w:pPr>
    </w:p>
    <w:p w14:paraId="17A2D7EB" w14:textId="77777777" w:rsidR="00AD697E" w:rsidRPr="004826D1" w:rsidRDefault="00AD697E" w:rsidP="00AD697E">
      <w:pPr>
        <w:rPr>
          <w:lang w:eastAsia="en-GB"/>
        </w:rPr>
      </w:pPr>
    </w:p>
    <w:p w14:paraId="5D421EB9" w14:textId="77777777" w:rsidR="00651D33" w:rsidRPr="004826D1" w:rsidRDefault="0012774A" w:rsidP="00651D33">
      <w:pPr>
        <w:pStyle w:val="Heading2"/>
        <w:spacing w:after="120"/>
        <w:jc w:val="both"/>
        <w:rPr>
          <w:rFonts w:ascii="Times New Roman" w:hAnsi="Times New Roman"/>
          <w:b w:val="0"/>
          <w:i w:val="0"/>
          <w:szCs w:val="28"/>
          <w:lang w:val="lv-LV"/>
        </w:rPr>
      </w:pPr>
      <w:bookmarkStart w:id="256" w:name="_Toc169602306"/>
      <w:r>
        <w:rPr>
          <w:rFonts w:ascii="Times New Roman" w:hAnsi="Times New Roman"/>
          <w:szCs w:val="28"/>
          <w:lang w:val="lv-LV"/>
        </w:rPr>
        <w:t>6</w:t>
      </w:r>
      <w:r w:rsidR="00651D33" w:rsidRPr="004826D1">
        <w:rPr>
          <w:rFonts w:ascii="Times New Roman" w:hAnsi="Times New Roman"/>
          <w:szCs w:val="28"/>
          <w:lang w:val="lv-LV"/>
        </w:rPr>
        <w:t>.</w:t>
      </w:r>
      <w:r w:rsidR="000D0A4B">
        <w:rPr>
          <w:rFonts w:ascii="Times New Roman" w:hAnsi="Times New Roman"/>
          <w:szCs w:val="28"/>
          <w:lang w:val="lv-LV"/>
        </w:rPr>
        <w:t>6</w:t>
      </w:r>
      <w:r w:rsidR="00651D33" w:rsidRPr="004826D1">
        <w:rPr>
          <w:rFonts w:ascii="Times New Roman" w:hAnsi="Times New Roman"/>
          <w:szCs w:val="28"/>
          <w:lang w:val="lv-LV"/>
        </w:rPr>
        <w:t xml:space="preserve"> Ainavas</w:t>
      </w:r>
      <w:bookmarkEnd w:id="256"/>
      <w:r w:rsidR="00651D33" w:rsidRPr="004826D1">
        <w:rPr>
          <w:rFonts w:ascii="Times New Roman" w:hAnsi="Times New Roman"/>
          <w:szCs w:val="28"/>
          <w:lang w:val="lv-LV"/>
        </w:rPr>
        <w:tab/>
      </w:r>
    </w:p>
    <w:p w14:paraId="4CA17C91" w14:textId="77777777" w:rsidR="00E96028" w:rsidRPr="004826D1" w:rsidRDefault="00D17E26" w:rsidP="00E96028">
      <w:pPr>
        <w:spacing w:before="120" w:after="120"/>
        <w:jc w:val="both"/>
        <w:rPr>
          <w:rFonts w:cs="Times New Roman"/>
          <w:color w:val="000000"/>
          <w:szCs w:val="24"/>
        </w:rPr>
      </w:pPr>
      <w:r w:rsidRPr="004826D1">
        <w:rPr>
          <w:rFonts w:cs="Times New Roman"/>
        </w:rPr>
        <w:t xml:space="preserve">Plāns paredz līdz 2030. gadam uzstādīt </w:t>
      </w:r>
      <w:r w:rsidRPr="004826D1">
        <w:rPr>
          <w:rFonts w:cs="Times New Roman"/>
          <w:color w:val="000000"/>
          <w:szCs w:val="24"/>
        </w:rPr>
        <w:t xml:space="preserve">VES ar jaudu 2-10 MW, kopumā 100-170 VES. Sakarā ar jaudas un izmēru korelāciju, VES spārna maksimālais augstums un attiecīgi teritorijas kopplatība, no kuras redzama kāda VES, ir apmēram proporcionāla kopējai jaudai neatkarīgi no tā, vai to veido lielāks skaits mazāku VES vai mazāks skaits lielāku VES, tāpēc aprēķinu ērtībām lietots pieņēmums, ka visas VES kopumā atbilst 100 VES ar jaudu 8 MW katra. </w:t>
      </w:r>
      <w:r w:rsidR="00E96028" w:rsidRPr="004826D1">
        <w:rPr>
          <w:rFonts w:cs="Times New Roman"/>
          <w:color w:val="000000"/>
          <w:szCs w:val="24"/>
        </w:rPr>
        <w:t xml:space="preserve">Šādu VES spārna maksimālais augstums augšējā pozīcijā var sasniegt līdz 300 m. </w:t>
      </w:r>
    </w:p>
    <w:p w14:paraId="6A34ACF3" w14:textId="77777777" w:rsidR="00E96028" w:rsidRPr="004826D1" w:rsidRDefault="00E96028" w:rsidP="00E96028">
      <w:pPr>
        <w:spacing w:before="120" w:after="120"/>
        <w:jc w:val="both"/>
        <w:rPr>
          <w:rFonts w:cs="Times New Roman"/>
          <w:color w:val="000000"/>
          <w:szCs w:val="24"/>
        </w:rPr>
      </w:pPr>
      <w:r w:rsidRPr="004826D1">
        <w:rPr>
          <w:rFonts w:cs="Times New Roman"/>
          <w:color w:val="000000"/>
          <w:szCs w:val="24"/>
        </w:rPr>
        <w:t>Pieņemot, ka VES ietekmē ainavu attālumā līdz desmitkāršam tās maksimālajam augstumam jeb 3 km attālumā (vidēji – atkarībā no reljefa, apauguma un apbūves, kas var šo attālumu gan būtiski samazināt, gan arī palielināt, piem., jūrā selgas VES gadījumā), vienas VES ainaviski ietekmētā platība ir 28 km². Pieņemot, ka visas VES izvietotas pa vienai (savstarpēji ne tuvāk kā divdesmitkārša to maksimālā augstuma attālumā), tātad kopējā ainaviski ietekmētā platība ir visu VES katras atsevišķi ietekmēto platību summa, iznāk 2800 km². Salīdzinot ar Latvijas teritoriju 64 000 km², tas ir 4,4 %.</w:t>
      </w:r>
    </w:p>
    <w:p w14:paraId="01DBE429" w14:textId="77777777" w:rsidR="00E96028" w:rsidRPr="004826D1" w:rsidRDefault="00E96028" w:rsidP="00E96028">
      <w:pPr>
        <w:spacing w:before="120" w:after="120"/>
        <w:jc w:val="both"/>
        <w:rPr>
          <w:rFonts w:cs="Times New Roman"/>
          <w:color w:val="000000"/>
          <w:szCs w:val="24"/>
        </w:rPr>
      </w:pPr>
      <w:r w:rsidRPr="004826D1">
        <w:rPr>
          <w:rFonts w:cs="Times New Roman"/>
          <w:color w:val="000000"/>
          <w:szCs w:val="24"/>
        </w:rPr>
        <w:t>Protams, šie pieņēmumi ir ļoti aptuveni un pēc maksimālās piesardzības principa maksimāli nelabvēlīgi: pārsvarā VES izvietosies parkos – ainaviskos klāsteros, kuros 3 km zonas ap katru to tām pārklāsies, ainaviskā ietekme katrā atsevišķā vietā būs uzreiz no vairākām vai daudzām VES, kamēr attiecīgi kopējā ainaviski ietekmētā platība samazināsies. Tomēr, ļoti aptuveni pieņemot, ka kopumā ainaviski ietekmēta būs Latvijas teritorija ar kārtu ~1% platībā no kopplatības, šāda ietekme uzskatāma par būtisku: pagaidām ļoti reti sastopamais ainavas elements – VES – Latvijā kļūs visai izplatīts.</w:t>
      </w:r>
    </w:p>
    <w:p w14:paraId="6BCCB25D" w14:textId="77777777" w:rsidR="00E96028" w:rsidRPr="004826D1" w:rsidRDefault="00E96028" w:rsidP="00E96028">
      <w:pPr>
        <w:spacing w:before="120" w:after="120"/>
        <w:jc w:val="both"/>
        <w:rPr>
          <w:rFonts w:cs="Times New Roman"/>
          <w:szCs w:val="24"/>
          <w:lang w:eastAsia="lv-LV"/>
        </w:rPr>
      </w:pPr>
      <w:r w:rsidRPr="004826D1">
        <w:rPr>
          <w:rFonts w:cs="Times New Roman"/>
          <w:szCs w:val="24"/>
          <w:lang w:eastAsia="lv-LV"/>
        </w:rPr>
        <w:lastRenderedPageBreak/>
        <w:t>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neitrālai, kamēr pozitīva attieksme (vēlēšanās redzēti tieši VES kā ainavu bagātinošu elementu) uzskatāma par praktiski nesastopamu. Tātad kopumā sabiedrības subjektīvā attieksme pret VES ainavisko ietekmi vērtējama kā negatīva.</w:t>
      </w:r>
    </w:p>
    <w:p w14:paraId="26E37FD7" w14:textId="77777777" w:rsidR="00E96028" w:rsidRPr="004826D1" w:rsidRDefault="00E96028" w:rsidP="00E96028">
      <w:pPr>
        <w:spacing w:before="120" w:after="120"/>
        <w:jc w:val="both"/>
        <w:rPr>
          <w:rFonts w:cs="Times New Roman"/>
          <w:szCs w:val="24"/>
          <w:lang w:eastAsia="lv-LV"/>
        </w:rPr>
      </w:pPr>
      <w:r w:rsidRPr="004826D1">
        <w:rPr>
          <w:rFonts w:cs="Times New Roman"/>
          <w:szCs w:val="24"/>
          <w:lang w:eastAsia="lv-LV"/>
        </w:rPr>
        <w:t>Pasaules attīstītajās valstīs, kur VES jau desmitiem gadu ir parasts ainavas elements, sabiedrība to ir pieņēmusi gan kā industriālas ainavas elementu, gan arī kompromisa veidā kā dabiskās un kūrortainavas elementu, kas ir neizbēgami sakarā gan ar VES tālo ainavisko ietekmi, gan ar enerģijas ražošanai piemērotākā vēja esamību reljefa paaugstinājumos (kas paplašina VES ainavisko ietekmi) un klajās vietās, īpaši jūras piekrastē (kas ir rekreācijai plaši izmantota vide).</w:t>
      </w:r>
    </w:p>
    <w:p w14:paraId="00AC34CC" w14:textId="77777777" w:rsidR="00E96028" w:rsidRPr="004826D1" w:rsidRDefault="00E96028" w:rsidP="00E96028">
      <w:pPr>
        <w:spacing w:before="120" w:after="120"/>
        <w:jc w:val="both"/>
        <w:rPr>
          <w:rFonts w:cs="Times New Roman"/>
          <w:color w:val="000000"/>
          <w:szCs w:val="24"/>
        </w:rPr>
      </w:pPr>
      <w:r w:rsidRPr="004826D1">
        <w:rPr>
          <w:rFonts w:cs="Times New Roman"/>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un šo ietekmi ir pamats vērtēt kā būtisku. Lai šī būtiskā nelabvēlīgā ietekme būtu pieļaujama, </w:t>
      </w:r>
      <w:r w:rsidRPr="004826D1">
        <w:rPr>
          <w:rFonts w:cs="Times New Roman"/>
          <w:color w:val="000000"/>
          <w:szCs w:val="24"/>
        </w:rPr>
        <w:t xml:space="preserve">VES parki jāveido vietās, kur tie būtiski neietekmē īpaši aizsargājamās </w:t>
      </w:r>
      <w:r w:rsidR="001136FC" w:rsidRPr="004826D1">
        <w:rPr>
          <w:rFonts w:cs="Times New Roman"/>
          <w:color w:val="000000"/>
          <w:szCs w:val="24"/>
        </w:rPr>
        <w:t xml:space="preserve">dabas </w:t>
      </w:r>
      <w:r w:rsidRPr="004826D1">
        <w:rPr>
          <w:rFonts w:cs="Times New Roman"/>
          <w:color w:val="000000"/>
          <w:szCs w:val="24"/>
        </w:rPr>
        <w:t>teritorijas ar ainavu kā profilējošo aizsargājamo vērtību, katram projektam jāveic ietekmes uz vidi novērtējums un projekts jāīsteno tikai būtiskas negatīvas ietekmes nekonstatēšanas gadījumā.</w:t>
      </w:r>
    </w:p>
    <w:p w14:paraId="697239D8" w14:textId="77777777" w:rsidR="00E96028" w:rsidRPr="004826D1" w:rsidRDefault="00E96028" w:rsidP="00E96028">
      <w:pPr>
        <w:spacing w:before="120" w:after="120"/>
        <w:jc w:val="both"/>
        <w:rPr>
          <w:rFonts w:cs="Times New Roman"/>
          <w:szCs w:val="24"/>
          <w:lang w:eastAsia="lv-LV"/>
        </w:rPr>
      </w:pPr>
      <w:r w:rsidRPr="004826D1">
        <w:rPr>
          <w:rFonts w:cs="Times New Roman"/>
          <w:szCs w:val="24"/>
          <w:lang w:eastAsia="lv-LV"/>
        </w:rPr>
        <w:t>Citiem Plāna pasākumiem ietekme uz ainavu nav identificējama.</w:t>
      </w:r>
    </w:p>
    <w:p w14:paraId="5E21F51A" w14:textId="77777777" w:rsidR="00002B3D" w:rsidRPr="004826D1" w:rsidRDefault="00002B3D" w:rsidP="00002B3D">
      <w:pPr>
        <w:spacing w:after="120"/>
        <w:ind w:firstLine="720"/>
        <w:jc w:val="both"/>
        <w:rPr>
          <w:i/>
          <w:u w:val="single"/>
          <w:lang w:eastAsia="lv-LV"/>
        </w:rPr>
      </w:pPr>
      <w:r w:rsidRPr="004826D1">
        <w:rPr>
          <w:i/>
          <w:u w:val="single"/>
          <w:lang w:eastAsia="lv-LV"/>
        </w:rPr>
        <w:t>Vērtējums: -1, tieša, ilgtermiņa, primāra, neatgriezeniska (pieņemot, ka vēja enerģētikas attīstība nebeigsies) ietekme.</w:t>
      </w:r>
    </w:p>
    <w:p w14:paraId="57C4BF62" w14:textId="77777777" w:rsidR="00651D33" w:rsidRPr="004826D1" w:rsidRDefault="00651D33" w:rsidP="00651D33">
      <w:pPr>
        <w:pStyle w:val="Heading2"/>
        <w:jc w:val="both"/>
        <w:rPr>
          <w:rFonts w:ascii="Times New Roman" w:hAnsi="Times New Roman"/>
          <w:lang w:val="lv-LV"/>
        </w:rPr>
      </w:pPr>
    </w:p>
    <w:p w14:paraId="31EF03BF" w14:textId="77777777" w:rsidR="0012774A" w:rsidRDefault="0012774A" w:rsidP="00651D33">
      <w:pPr>
        <w:pStyle w:val="Heading2"/>
        <w:jc w:val="both"/>
        <w:rPr>
          <w:rFonts w:ascii="Times New Roman" w:hAnsi="Times New Roman"/>
          <w:lang w:val="lv-LV"/>
        </w:rPr>
      </w:pPr>
    </w:p>
    <w:p w14:paraId="396F7481" w14:textId="77777777" w:rsidR="00651D33" w:rsidRPr="004826D1" w:rsidRDefault="0012774A" w:rsidP="00651D33">
      <w:pPr>
        <w:pStyle w:val="Heading2"/>
        <w:jc w:val="both"/>
        <w:rPr>
          <w:rFonts w:ascii="Times New Roman" w:hAnsi="Times New Roman"/>
          <w:lang w:val="lv-LV"/>
        </w:rPr>
      </w:pPr>
      <w:bookmarkStart w:id="257" w:name="_Toc169602307"/>
      <w:r>
        <w:rPr>
          <w:rFonts w:ascii="Times New Roman" w:hAnsi="Times New Roman"/>
          <w:lang w:val="lv-LV"/>
        </w:rPr>
        <w:t>6</w:t>
      </w:r>
      <w:r w:rsidR="00651D33" w:rsidRPr="004826D1">
        <w:rPr>
          <w:rFonts w:ascii="Times New Roman" w:hAnsi="Times New Roman"/>
          <w:lang w:val="lv-LV"/>
        </w:rPr>
        <w:t>.</w:t>
      </w:r>
      <w:r w:rsidR="000D0A4B">
        <w:rPr>
          <w:rFonts w:ascii="Times New Roman" w:hAnsi="Times New Roman"/>
          <w:lang w:val="lv-LV"/>
        </w:rPr>
        <w:t>7</w:t>
      </w:r>
      <w:r w:rsidR="00651D33" w:rsidRPr="004826D1">
        <w:rPr>
          <w:rFonts w:ascii="Times New Roman" w:hAnsi="Times New Roman"/>
          <w:lang w:val="lv-LV"/>
        </w:rPr>
        <w:t xml:space="preserve"> Kultūrvēsturiskie objekti</w:t>
      </w:r>
      <w:bookmarkEnd w:id="257"/>
    </w:p>
    <w:p w14:paraId="03D54299" w14:textId="77777777" w:rsidR="00651D33" w:rsidRPr="004826D1" w:rsidRDefault="00651D33" w:rsidP="00651D33">
      <w:pPr>
        <w:autoSpaceDE w:val="0"/>
        <w:autoSpaceDN w:val="0"/>
        <w:adjustRightInd w:val="0"/>
        <w:jc w:val="both"/>
        <w:rPr>
          <w:rFonts w:cs="Times New Roman"/>
        </w:rPr>
      </w:pPr>
    </w:p>
    <w:bookmarkEnd w:id="237"/>
    <w:bookmarkEnd w:id="238"/>
    <w:p w14:paraId="276890DF" w14:textId="77777777" w:rsidR="008D1377" w:rsidRPr="004826D1" w:rsidRDefault="00485D0A" w:rsidP="008D1377">
      <w:pPr>
        <w:spacing w:before="120" w:after="120"/>
        <w:jc w:val="both"/>
        <w:rPr>
          <w:rFonts w:cs="Times New Roman"/>
          <w:szCs w:val="24"/>
        </w:rPr>
      </w:pPr>
      <w:r w:rsidRPr="004826D1">
        <w:rPr>
          <w:rFonts w:cs="Times New Roman"/>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718A71B5" w14:textId="77777777" w:rsidR="008D1377" w:rsidRPr="004826D1" w:rsidRDefault="008D1377" w:rsidP="008D1377">
      <w:pPr>
        <w:pStyle w:val="ListParagraph1"/>
        <w:autoSpaceDE w:val="0"/>
        <w:autoSpaceDN w:val="0"/>
        <w:adjustRightInd w:val="0"/>
        <w:ind w:left="0"/>
        <w:jc w:val="both"/>
        <w:rPr>
          <w:rFonts w:cs="Times New Roman"/>
          <w:sz w:val="24"/>
          <w:szCs w:val="24"/>
        </w:rPr>
      </w:pPr>
      <w:r w:rsidRPr="004826D1">
        <w:rPr>
          <w:rFonts w:cs="Times New Roman"/>
          <w:sz w:val="24"/>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67391D85" w14:textId="77777777" w:rsidR="004165FA" w:rsidRPr="004826D1" w:rsidRDefault="004165FA" w:rsidP="004165FA">
      <w:pPr>
        <w:spacing w:after="120"/>
        <w:ind w:firstLine="720"/>
        <w:jc w:val="both"/>
        <w:rPr>
          <w:i/>
          <w:u w:val="single"/>
          <w:lang w:eastAsia="lv-LV"/>
        </w:rPr>
      </w:pPr>
      <w:r w:rsidRPr="004826D1">
        <w:rPr>
          <w:i/>
          <w:u w:val="single"/>
          <w:lang w:eastAsia="lv-LV"/>
        </w:rPr>
        <w:t>Vērtējums: 0 (lai atkārtoti neievērtētu to pašu negatīvo ietekmi uz ainavu).</w:t>
      </w:r>
    </w:p>
    <w:p w14:paraId="152E5F65" w14:textId="77777777" w:rsidR="00E96028" w:rsidRPr="004826D1" w:rsidRDefault="00E96028" w:rsidP="00C22D44">
      <w:pPr>
        <w:pStyle w:val="Heading2"/>
        <w:rPr>
          <w:rFonts w:ascii="Times New Roman" w:hAnsi="Times New Roman"/>
          <w:lang w:val="lv-LV"/>
        </w:rPr>
      </w:pPr>
    </w:p>
    <w:p w14:paraId="2F0E64A2" w14:textId="77777777" w:rsidR="00C22D44" w:rsidRPr="004826D1" w:rsidRDefault="0012774A" w:rsidP="00C22D44">
      <w:pPr>
        <w:pStyle w:val="Heading2"/>
        <w:rPr>
          <w:rFonts w:ascii="Times New Roman" w:hAnsi="Times New Roman"/>
          <w:lang w:val="lv-LV"/>
        </w:rPr>
      </w:pPr>
      <w:bookmarkStart w:id="258" w:name="_Toc169602308"/>
      <w:r>
        <w:rPr>
          <w:rFonts w:ascii="Times New Roman" w:hAnsi="Times New Roman"/>
          <w:lang w:val="lv-LV"/>
        </w:rPr>
        <w:t>6</w:t>
      </w:r>
      <w:r w:rsidR="00C22D44" w:rsidRPr="004826D1">
        <w:rPr>
          <w:rFonts w:ascii="Times New Roman" w:hAnsi="Times New Roman"/>
          <w:lang w:val="lv-LV"/>
        </w:rPr>
        <w:t>.</w:t>
      </w:r>
      <w:r w:rsidR="000D0A4B">
        <w:rPr>
          <w:rFonts w:ascii="Times New Roman" w:hAnsi="Times New Roman"/>
          <w:lang w:val="lv-LV"/>
        </w:rPr>
        <w:t>8</w:t>
      </w:r>
      <w:r w:rsidR="00C22D44" w:rsidRPr="004826D1">
        <w:rPr>
          <w:rFonts w:ascii="Times New Roman" w:hAnsi="Times New Roman"/>
          <w:lang w:val="lv-LV"/>
        </w:rPr>
        <w:t>. Trok</w:t>
      </w:r>
      <w:r w:rsidR="00E96028" w:rsidRPr="004826D1">
        <w:rPr>
          <w:rFonts w:ascii="Times New Roman" w:hAnsi="Times New Roman"/>
          <w:lang w:val="lv-LV"/>
        </w:rPr>
        <w:t>šņa līmenis</w:t>
      </w:r>
      <w:bookmarkEnd w:id="258"/>
    </w:p>
    <w:p w14:paraId="56376481" w14:textId="77777777" w:rsidR="00C22D44" w:rsidRPr="004826D1" w:rsidRDefault="00C22D44" w:rsidP="00C22D44">
      <w:pPr>
        <w:rPr>
          <w:lang w:eastAsia="en-GB"/>
        </w:rPr>
      </w:pPr>
    </w:p>
    <w:p w14:paraId="287A3A48" w14:textId="1B4C5EB9" w:rsidR="00A34349" w:rsidRDefault="00A34349" w:rsidP="00A34349">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putnus un sikspārņus. Sakarā ar jaudas un </w:t>
      </w:r>
      <w:r>
        <w:rPr>
          <w:rFonts w:cs="Times New Roman"/>
          <w:color w:val="000000"/>
          <w:szCs w:val="24"/>
        </w:rPr>
        <w:t>trokšņa līmeņa</w:t>
      </w:r>
      <w:r w:rsidRPr="004826D1">
        <w:rPr>
          <w:rFonts w:cs="Times New Roman"/>
          <w:color w:val="000000"/>
          <w:szCs w:val="24"/>
        </w:rPr>
        <w:t xml:space="preserve"> korelāciju</w:t>
      </w:r>
      <w:r>
        <w:rPr>
          <w:rFonts w:cs="Times New Roman"/>
          <w:color w:val="000000"/>
          <w:szCs w:val="24"/>
        </w:rPr>
        <w:t xml:space="preserve"> trokšņa robežlielumu pārsniegumu kopplatība </w:t>
      </w:r>
      <w:r w:rsidRPr="004826D1">
        <w:rPr>
          <w:rFonts w:cs="Times New Roman"/>
          <w:color w:val="000000"/>
          <w:szCs w:val="24"/>
        </w:rPr>
        <w:t>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42781280" w14:textId="6D55BCC7" w:rsidR="002A4B17" w:rsidRPr="004826D1" w:rsidRDefault="009D0D33" w:rsidP="001C31ED">
      <w:pPr>
        <w:spacing w:before="120" w:after="120"/>
        <w:jc w:val="both"/>
        <w:rPr>
          <w:rFonts w:cs="Times New Roman"/>
          <w:color w:val="000000"/>
          <w:szCs w:val="24"/>
        </w:rPr>
      </w:pPr>
      <w:r w:rsidRPr="004826D1">
        <w:rPr>
          <w:rFonts w:cs="Times New Roman"/>
          <w:color w:val="000000"/>
          <w:szCs w:val="24"/>
        </w:rPr>
        <w:lastRenderedPageBreak/>
        <w:t xml:space="preserve">Atbilstoši MK </w:t>
      </w:r>
      <w:r w:rsidR="00F13B36" w:rsidRPr="004826D1">
        <w:rPr>
          <w:rFonts w:cs="Times New Roman"/>
          <w:color w:val="000000"/>
          <w:szCs w:val="24"/>
        </w:rPr>
        <w:t>30.04.2013. </w:t>
      </w:r>
      <w:r w:rsidRPr="004826D1">
        <w:rPr>
          <w:rFonts w:cs="Times New Roman"/>
          <w:color w:val="000000"/>
          <w:szCs w:val="24"/>
        </w:rPr>
        <w:t>noteikumiem Nr.240 "Vispārīgie teritorijas plānošanas, izmantošanas un apbūves noteikumi"</w:t>
      </w:r>
      <w:r w:rsidR="00D76623" w:rsidRPr="004826D1">
        <w:rPr>
          <w:rFonts w:cs="Times New Roman"/>
          <w:color w:val="000000"/>
          <w:szCs w:val="24"/>
        </w:rPr>
        <w:t xml:space="preserve"> VES minimālais attālums līdz dzīvojamajai mājai ir </w:t>
      </w:r>
      <w:r w:rsidR="00A34349">
        <w:rPr>
          <w:rFonts w:cs="Times New Roman"/>
          <w:color w:val="000000"/>
          <w:szCs w:val="24"/>
        </w:rPr>
        <w:t>8</w:t>
      </w:r>
      <w:r w:rsidR="00D76623" w:rsidRPr="004826D1">
        <w:rPr>
          <w:rFonts w:cs="Times New Roman"/>
          <w:color w:val="000000"/>
          <w:szCs w:val="24"/>
        </w:rPr>
        <w:t xml:space="preserve">00 m, ko stratēģiskā ietekmes uz vidi novērtējuma vajadzībām varētu uzskatīt par zonu, kurā, cita starpā, </w:t>
      </w:r>
      <w:r w:rsidR="00A34349">
        <w:rPr>
          <w:rFonts w:cs="Times New Roman"/>
          <w:color w:val="000000"/>
          <w:szCs w:val="24"/>
        </w:rPr>
        <w:t>iespējams</w:t>
      </w:r>
      <w:r w:rsidR="00D76623" w:rsidRPr="004826D1">
        <w:rPr>
          <w:rFonts w:cs="Times New Roman"/>
          <w:color w:val="000000"/>
          <w:szCs w:val="24"/>
        </w:rPr>
        <w:t xml:space="preserve"> arī trokšņa traucējums</w:t>
      </w:r>
      <w:r w:rsidR="00A34349">
        <w:rPr>
          <w:rFonts w:cs="Times New Roman"/>
          <w:color w:val="000000"/>
          <w:szCs w:val="24"/>
        </w:rPr>
        <w:t xml:space="preserve">. </w:t>
      </w:r>
      <w:r w:rsidR="002A4B17" w:rsidRPr="004826D1">
        <w:rPr>
          <w:rFonts w:cs="Times New Roman"/>
          <w:color w:val="000000"/>
          <w:szCs w:val="24"/>
        </w:rPr>
        <w:t xml:space="preserve">Tādējādi katra VES </w:t>
      </w:r>
      <w:r w:rsidR="00BA2F8B">
        <w:rPr>
          <w:rFonts w:cs="Times New Roman"/>
          <w:color w:val="000000"/>
          <w:szCs w:val="24"/>
        </w:rPr>
        <w:t xml:space="preserve">potenciāli </w:t>
      </w:r>
      <w:r w:rsidR="002A4B17" w:rsidRPr="004826D1">
        <w:rPr>
          <w:rFonts w:cs="Times New Roman"/>
          <w:color w:val="000000"/>
          <w:szCs w:val="24"/>
        </w:rPr>
        <w:t>pakļauj trokšņa traucējumam ~</w:t>
      </w:r>
      <w:r w:rsidR="00BA2F8B">
        <w:rPr>
          <w:rFonts w:cs="Times New Roman"/>
          <w:color w:val="000000"/>
          <w:szCs w:val="24"/>
        </w:rPr>
        <w:t>2 m²</w:t>
      </w:r>
      <w:r w:rsidR="002A4B17" w:rsidRPr="004826D1">
        <w:rPr>
          <w:rFonts w:cs="Times New Roman"/>
          <w:color w:val="000000"/>
          <w:szCs w:val="24"/>
        </w:rPr>
        <w:t xml:space="preserve"> platību. Kopējā visu VES trokšņa traucējumam pakļautā platība ir </w:t>
      </w:r>
      <w:r w:rsidR="00BA2F8B">
        <w:rPr>
          <w:rFonts w:cs="Times New Roman"/>
          <w:color w:val="000000"/>
          <w:szCs w:val="24"/>
        </w:rPr>
        <w:t>200 </w:t>
      </w:r>
      <w:r w:rsidR="002A4B17" w:rsidRPr="004826D1">
        <w:rPr>
          <w:rFonts w:cs="Times New Roman"/>
          <w:color w:val="000000"/>
          <w:szCs w:val="24"/>
        </w:rPr>
        <w:t>km² visas Latvijas mērogā. Salīdzinot ar Latvijas teritoriju 64 000 km², tas ir 0,</w:t>
      </w:r>
      <w:r w:rsidR="00BA2F8B">
        <w:rPr>
          <w:rFonts w:cs="Times New Roman"/>
          <w:color w:val="000000"/>
          <w:szCs w:val="24"/>
        </w:rPr>
        <w:t>3</w:t>
      </w:r>
      <w:r w:rsidR="002A4B17" w:rsidRPr="004826D1">
        <w:rPr>
          <w:rFonts w:cs="Times New Roman"/>
          <w:color w:val="000000"/>
          <w:szCs w:val="24"/>
        </w:rPr>
        <w:t xml:space="preserve"> %. </w:t>
      </w:r>
      <w:r w:rsidR="00A34349">
        <w:rPr>
          <w:rFonts w:cs="Times New Roman"/>
          <w:color w:val="000000"/>
          <w:szCs w:val="24"/>
        </w:rPr>
        <w:t xml:space="preserve">Tomēr, kā liecina patlaban Latvijā jau daudzi konkrētu VES parku ietekmes uz vidi novērtējumi, </w:t>
      </w:r>
      <w:r w:rsidR="00A34349" w:rsidRPr="004826D1">
        <w:rPr>
          <w:rFonts w:cs="Times New Roman"/>
          <w:color w:val="000000"/>
          <w:szCs w:val="24"/>
        </w:rPr>
        <w:t>MK 07.01.2014. noteikumos Nr.16 "Trokšņa novērtēšanas un pārvaldības kārtība" noteiktos trokšņa robežlielumus pārsniedzošs</w:t>
      </w:r>
      <w:r w:rsidR="00A34349">
        <w:rPr>
          <w:rFonts w:cs="Times New Roman"/>
          <w:color w:val="000000"/>
          <w:szCs w:val="24"/>
        </w:rPr>
        <w:t xml:space="preserve"> troksnis no VES praktiski nekad nesasniedz šo 800 m attālumu</w:t>
      </w:r>
      <w:r w:rsidR="00BA2F8B">
        <w:rPr>
          <w:rFonts w:cs="Times New Roman"/>
          <w:color w:val="000000"/>
          <w:szCs w:val="24"/>
        </w:rPr>
        <w:t>, tāpēc trokšņa robežlielumu</w:t>
      </w:r>
      <w:r w:rsidR="00BA2F8B" w:rsidRPr="004826D1">
        <w:rPr>
          <w:rFonts w:cs="Times New Roman"/>
          <w:color w:val="000000"/>
          <w:szCs w:val="24"/>
        </w:rPr>
        <w:t xml:space="preserve"> pārsnie</w:t>
      </w:r>
      <w:r w:rsidR="00BA2F8B">
        <w:rPr>
          <w:rFonts w:cs="Times New Roman"/>
          <w:color w:val="000000"/>
          <w:szCs w:val="24"/>
        </w:rPr>
        <w:t>guma platība būs mazāka par desmitdaļu procenta Latvijas teritorijas, un šajā daļā neatradīsies dzīvojamā apbūve</w:t>
      </w:r>
      <w:r w:rsidR="00A34349">
        <w:rPr>
          <w:rFonts w:cs="Times New Roman"/>
          <w:color w:val="000000"/>
          <w:szCs w:val="24"/>
        </w:rPr>
        <w:t>.</w:t>
      </w:r>
      <w:r w:rsidR="00BA2F8B">
        <w:rPr>
          <w:rFonts w:cs="Times New Roman"/>
          <w:color w:val="000000"/>
          <w:szCs w:val="24"/>
        </w:rPr>
        <w:t xml:space="preserve"> </w:t>
      </w:r>
      <w:r w:rsidR="002A4B17" w:rsidRPr="004826D1">
        <w:rPr>
          <w:rFonts w:cs="Times New Roman"/>
          <w:color w:val="000000"/>
          <w:szCs w:val="24"/>
        </w:rPr>
        <w:t xml:space="preserve">Šāda apmēra </w:t>
      </w:r>
      <w:r w:rsidR="005E1392" w:rsidRPr="004826D1">
        <w:rPr>
          <w:rFonts w:cs="Times New Roman"/>
          <w:color w:val="000000"/>
          <w:szCs w:val="24"/>
        </w:rPr>
        <w:t xml:space="preserve">trokšņa </w:t>
      </w:r>
      <w:r w:rsidR="002A4B17" w:rsidRPr="004826D1">
        <w:rPr>
          <w:rFonts w:cs="Times New Roman"/>
          <w:color w:val="000000"/>
          <w:szCs w:val="24"/>
        </w:rPr>
        <w:t xml:space="preserve">kaitējums Latvijas mērogā uzskatāms par nebūtisku, ja vien katram </w:t>
      </w:r>
      <w:r w:rsidR="005E1392" w:rsidRPr="004826D1">
        <w:rPr>
          <w:rFonts w:cs="Times New Roman"/>
          <w:color w:val="000000"/>
          <w:szCs w:val="24"/>
        </w:rPr>
        <w:t xml:space="preserve">VES parku </w:t>
      </w:r>
      <w:r w:rsidR="002A4B17" w:rsidRPr="004826D1">
        <w:rPr>
          <w:rFonts w:cs="Times New Roman"/>
          <w:color w:val="000000"/>
          <w:szCs w:val="24"/>
        </w:rPr>
        <w:t>projektam tiek veikts ietekmes uz vidi novērtējums un projekts īstenots tikai būtiskas negatīvas ietekmes nekonstatēšanas gadījumā.</w:t>
      </w:r>
    </w:p>
    <w:p w14:paraId="55338FCA" w14:textId="70F56557" w:rsidR="00A34349" w:rsidRDefault="00A34349" w:rsidP="00A34349">
      <w:pPr>
        <w:spacing w:before="120" w:after="120"/>
        <w:jc w:val="both"/>
        <w:rPr>
          <w:rFonts w:cs="Times New Roman"/>
          <w:color w:val="000000"/>
          <w:szCs w:val="24"/>
        </w:rPr>
      </w:pPr>
      <w:r>
        <w:rPr>
          <w:rFonts w:cs="Times New Roman"/>
          <w:color w:val="000000"/>
          <w:szCs w:val="24"/>
        </w:rPr>
        <w:t xml:space="preserve">Savukārt atkrastes VES jūrā (kurām augšminētos apjomus plānots sasniegt jau ievērojami pēc pašreizējā plāna termiņa 2030. gadā) </w:t>
      </w:r>
      <w:r w:rsidR="00BA2F8B">
        <w:rPr>
          <w:rFonts w:cs="Times New Roman"/>
          <w:color w:val="000000"/>
          <w:szCs w:val="24"/>
        </w:rPr>
        <w:t>troksnis nesasniedz sauszemi</w:t>
      </w:r>
      <w:r>
        <w:rPr>
          <w:rFonts w:cs="Times New Roman"/>
          <w:color w:val="000000"/>
          <w:szCs w:val="24"/>
        </w:rPr>
        <w:t xml:space="preserve">. </w:t>
      </w:r>
    </w:p>
    <w:p w14:paraId="136A8514" w14:textId="77777777" w:rsidR="00EF4F76" w:rsidRPr="004826D1" w:rsidRDefault="00EF4F76" w:rsidP="00EF4F76">
      <w:pPr>
        <w:spacing w:before="120" w:after="120"/>
        <w:jc w:val="both"/>
        <w:rPr>
          <w:rFonts w:cs="Times New Roman"/>
          <w:szCs w:val="24"/>
          <w:lang w:eastAsia="lv-LV"/>
        </w:rPr>
      </w:pPr>
      <w:r w:rsidRPr="004826D1">
        <w:t xml:space="preserve">Plāna pasākumiem nav identificējama citāda ietekme uz trokšņa līmeni Latvijā. </w:t>
      </w:r>
      <w:r w:rsidRPr="004826D1">
        <w:rPr>
          <w:rFonts w:cs="Times New Roman"/>
          <w:szCs w:val="24"/>
          <w:lang w:eastAsia="lv-LV"/>
        </w:rPr>
        <w:t xml:space="preserve">Teorētiski var uzskatīt, ka, piemēram, </w:t>
      </w:r>
      <w:r w:rsidR="007C1069" w:rsidRPr="004826D1">
        <w:rPr>
          <w:rFonts w:cs="Times New Roman"/>
          <w:szCs w:val="24"/>
          <w:lang w:eastAsia="lv-LV"/>
        </w:rPr>
        <w:t>auto un dzelzceļa transporta</w:t>
      </w:r>
      <w:r w:rsidRPr="004826D1">
        <w:rPr>
          <w:rFonts w:cs="Times New Roman"/>
          <w:szCs w:val="24"/>
          <w:lang w:eastAsia="lv-LV"/>
        </w:rPr>
        <w:t xml:space="preserve"> iekšdedzes dzinēju aizstāšana ar elektrodzinējiem samazina transporta troksni, tomēr šī ietekme ir tik niecīga, ka pēc maksimālās piesardzības principa būtu korekti nevērtēt to kā pozitīvu Plāna ieguvumu.</w:t>
      </w:r>
    </w:p>
    <w:p w14:paraId="78801C2A" w14:textId="77777777" w:rsidR="00F54F2B" w:rsidRPr="004826D1" w:rsidRDefault="00D27BD7" w:rsidP="00F54F2B">
      <w:pPr>
        <w:spacing w:after="120"/>
        <w:ind w:firstLine="720"/>
        <w:jc w:val="both"/>
        <w:rPr>
          <w:i/>
          <w:u w:val="single"/>
          <w:lang w:eastAsia="lv-LV"/>
        </w:rPr>
      </w:pPr>
      <w:r w:rsidRPr="004826D1">
        <w:rPr>
          <w:i/>
          <w:u w:val="single"/>
          <w:lang w:eastAsia="lv-LV"/>
        </w:rPr>
        <w:t xml:space="preserve">Vērtējums: -1, tieša, ilgtermiņa, primāra, neatgriezeniska (pieņemot, ka vēja </w:t>
      </w:r>
      <w:r w:rsidR="00F54F2B" w:rsidRPr="004826D1">
        <w:rPr>
          <w:i/>
          <w:u w:val="single"/>
          <w:lang w:eastAsia="lv-LV"/>
        </w:rPr>
        <w:t>enerģētikas attīstība nebeigsies) ietekme.</w:t>
      </w:r>
    </w:p>
    <w:p w14:paraId="65C57788" w14:textId="77777777" w:rsidR="00F54F2B" w:rsidRDefault="00F54F2B" w:rsidP="00F54F2B">
      <w:pPr>
        <w:pStyle w:val="Heading1"/>
        <w:rPr>
          <w:rFonts w:ascii="Times New Roman" w:hAnsi="Times New Roman"/>
          <w:lang w:val="lv-LV"/>
        </w:rPr>
      </w:pPr>
    </w:p>
    <w:p w14:paraId="63879B68" w14:textId="77777777" w:rsidR="00F72749" w:rsidRPr="004826D1" w:rsidRDefault="0012774A" w:rsidP="00F72749">
      <w:pPr>
        <w:pStyle w:val="Heading2"/>
        <w:spacing w:after="120"/>
        <w:jc w:val="both"/>
        <w:rPr>
          <w:rFonts w:ascii="Times New Roman" w:hAnsi="Times New Roman"/>
          <w:lang w:val="lv-LV"/>
        </w:rPr>
      </w:pPr>
      <w:bookmarkStart w:id="259" w:name="_Toc169602309"/>
      <w:r>
        <w:rPr>
          <w:rFonts w:ascii="Times New Roman" w:hAnsi="Times New Roman"/>
          <w:lang w:val="lv-LV"/>
        </w:rPr>
        <w:t>6</w:t>
      </w:r>
      <w:r w:rsidR="00F72749" w:rsidRPr="004826D1">
        <w:rPr>
          <w:rFonts w:ascii="Times New Roman" w:hAnsi="Times New Roman"/>
          <w:lang w:val="lv-LV"/>
        </w:rPr>
        <w:t>.</w:t>
      </w:r>
      <w:r w:rsidR="000D0A4B">
        <w:rPr>
          <w:rFonts w:ascii="Times New Roman" w:hAnsi="Times New Roman"/>
          <w:lang w:val="lv-LV"/>
        </w:rPr>
        <w:t>9</w:t>
      </w:r>
      <w:r w:rsidR="00F72749" w:rsidRPr="004826D1">
        <w:rPr>
          <w:rFonts w:ascii="Times New Roman" w:hAnsi="Times New Roman"/>
          <w:lang w:val="lv-LV"/>
        </w:rPr>
        <w:t xml:space="preserve"> Klimata pārmaiņas</w:t>
      </w:r>
      <w:bookmarkEnd w:id="259"/>
      <w:r w:rsidR="00F72749" w:rsidRPr="004826D1">
        <w:rPr>
          <w:rFonts w:ascii="Times New Roman" w:hAnsi="Times New Roman"/>
          <w:lang w:val="lv-LV"/>
        </w:rPr>
        <w:t xml:space="preserve"> </w:t>
      </w:r>
    </w:p>
    <w:p w14:paraId="6461E069" w14:textId="77777777" w:rsidR="00F72749" w:rsidRPr="004826D1" w:rsidRDefault="00F72749" w:rsidP="00F72749">
      <w:pPr>
        <w:spacing w:after="120"/>
        <w:jc w:val="both"/>
        <w:rPr>
          <w:rFonts w:cs="Times New Roman"/>
          <w:szCs w:val="24"/>
        </w:rPr>
      </w:pPr>
      <w:r w:rsidRPr="004826D1">
        <w:rPr>
          <w:rFonts w:cs="Times New Roman"/>
          <w:szCs w:val="24"/>
        </w:rPr>
        <w:t>Pozitīva ietekme uz klimatu jeb SEG emisiju samazinājums ir viens no Plāna pamatmērķiem, kura sasniegšana ir detalizēti aprakstīta 3. daļā un šeit nav jāatkārto.</w:t>
      </w:r>
    </w:p>
    <w:p w14:paraId="19EB111C" w14:textId="77777777" w:rsidR="00F72749" w:rsidRPr="004826D1" w:rsidRDefault="00F72749" w:rsidP="00F72749">
      <w:pPr>
        <w:spacing w:after="120"/>
        <w:jc w:val="both"/>
        <w:rPr>
          <w:rFonts w:cs="Times New Roman"/>
          <w:szCs w:val="24"/>
        </w:rPr>
      </w:pPr>
      <w:r w:rsidRPr="004826D1">
        <w:rPr>
          <w:rFonts w:cs="Times New Roman"/>
          <w:szCs w:val="24"/>
        </w:rPr>
        <w:t>Kopējās Latvijas SEG emisijas 2016. gadā bija 11 306,39 kt CO</w:t>
      </w:r>
      <w:r w:rsidRPr="004826D1">
        <w:rPr>
          <w:rFonts w:cs="Times New Roman"/>
          <w:szCs w:val="24"/>
          <w:vertAlign w:val="subscript"/>
        </w:rPr>
        <w:t>2</w:t>
      </w:r>
      <w:r w:rsidRPr="004826D1">
        <w:rPr>
          <w:rFonts w:cs="Times New Roman"/>
          <w:szCs w:val="24"/>
        </w:rPr>
        <w:t> eq, 2030. gadā plānotās – 9327,77 kt CO</w:t>
      </w:r>
      <w:r w:rsidRPr="004826D1">
        <w:rPr>
          <w:rFonts w:cs="Times New Roman"/>
          <w:szCs w:val="24"/>
          <w:vertAlign w:val="subscript"/>
        </w:rPr>
        <w:t>2</w:t>
      </w:r>
      <w:r w:rsidRPr="004826D1">
        <w:rPr>
          <w:rFonts w:cs="Times New Roman"/>
          <w:szCs w:val="24"/>
        </w:rPr>
        <w:t> eq jeb par apmēram 17,5% mazākas. Tā ir ļoti būtiska pozitīva ietekme uz vidi, kuras sasniegšana atsver visas daudz mazākās negatīvās ietekmes kā kompromisu šīs galvenās pozitīvās ietekmes vārdā, tāpēc vērtējama kā izšķiroši labvēlīga ietekme uz vidi.</w:t>
      </w:r>
    </w:p>
    <w:p w14:paraId="69FC2767" w14:textId="77777777" w:rsidR="00F72749" w:rsidRPr="004826D1" w:rsidRDefault="00F72749" w:rsidP="00F72749">
      <w:pPr>
        <w:spacing w:after="120"/>
        <w:ind w:firstLine="720"/>
        <w:jc w:val="both"/>
        <w:rPr>
          <w:i/>
          <w:u w:val="single"/>
          <w:lang w:eastAsia="lv-LV"/>
        </w:rPr>
      </w:pPr>
      <w:r w:rsidRPr="004826D1">
        <w:rPr>
          <w:i/>
          <w:u w:val="single"/>
          <w:lang w:eastAsia="lv-LV"/>
        </w:rPr>
        <w:t>Vērtējums: +3, tieša, ilgtermiņa, primāra, neatgriezeniska (pieņemot, ka videi draudzīgas enerģētikas attīstība nebeigsies) ietekme (globālā mērogā, kas ir vienīgais šīs ietekmes vērtēšanas veids)</w:t>
      </w:r>
    </w:p>
    <w:p w14:paraId="09807828" w14:textId="77777777" w:rsidR="00F72749" w:rsidRPr="004826D1" w:rsidRDefault="00F72749" w:rsidP="00F72749"/>
    <w:p w14:paraId="208E52ED" w14:textId="77777777" w:rsidR="00F72749" w:rsidRDefault="00F72749" w:rsidP="00F72749">
      <w:pPr>
        <w:pStyle w:val="Heading2"/>
        <w:spacing w:after="120"/>
        <w:jc w:val="both"/>
        <w:rPr>
          <w:rFonts w:ascii="Times New Roman" w:hAnsi="Times New Roman"/>
          <w:szCs w:val="28"/>
          <w:lang w:val="lv-LV"/>
        </w:rPr>
      </w:pPr>
    </w:p>
    <w:p w14:paraId="0F101103" w14:textId="77777777" w:rsidR="00F54F2B" w:rsidRPr="004826D1" w:rsidRDefault="0012774A" w:rsidP="00F54F2B">
      <w:pPr>
        <w:pStyle w:val="Heading2"/>
        <w:rPr>
          <w:rFonts w:ascii="Times New Roman" w:hAnsi="Times New Roman"/>
          <w:lang w:val="lv-LV"/>
        </w:rPr>
      </w:pPr>
      <w:bookmarkStart w:id="260" w:name="_Toc169602310"/>
      <w:r>
        <w:rPr>
          <w:rFonts w:ascii="Times New Roman" w:hAnsi="Times New Roman"/>
          <w:lang w:val="lv-LV"/>
        </w:rPr>
        <w:t>6</w:t>
      </w:r>
      <w:r w:rsidR="00F54F2B" w:rsidRPr="004826D1">
        <w:rPr>
          <w:rFonts w:ascii="Times New Roman" w:hAnsi="Times New Roman"/>
          <w:lang w:val="lv-LV"/>
        </w:rPr>
        <w:t>.1</w:t>
      </w:r>
      <w:r w:rsidR="000D0A4B">
        <w:rPr>
          <w:rFonts w:ascii="Times New Roman" w:hAnsi="Times New Roman"/>
          <w:lang w:val="lv-LV"/>
        </w:rPr>
        <w:t>0</w:t>
      </w:r>
      <w:r w:rsidR="00F54F2B" w:rsidRPr="004826D1">
        <w:rPr>
          <w:rFonts w:ascii="Times New Roman" w:hAnsi="Times New Roman"/>
          <w:lang w:val="lv-LV"/>
        </w:rPr>
        <w:t>. Pārrobežu ietekmes</w:t>
      </w:r>
      <w:bookmarkEnd w:id="260"/>
    </w:p>
    <w:p w14:paraId="76695B6E" w14:textId="77777777" w:rsidR="00F54F2B" w:rsidRPr="004826D1" w:rsidRDefault="00F54F2B" w:rsidP="00F54F2B">
      <w:pPr>
        <w:rPr>
          <w:lang w:eastAsia="en-GB"/>
        </w:rPr>
      </w:pPr>
    </w:p>
    <w:p w14:paraId="42E585C5" w14:textId="77777777" w:rsidR="00DF2C4E" w:rsidRPr="004826D1" w:rsidRDefault="00DF2C4E" w:rsidP="00DF2C4E">
      <w:pPr>
        <w:spacing w:before="120" w:after="120"/>
        <w:jc w:val="both"/>
        <w:rPr>
          <w:lang w:eastAsia="en-GB"/>
        </w:rPr>
      </w:pPr>
      <w:r w:rsidRPr="004826D1">
        <w:rPr>
          <w:lang w:eastAsia="en-GB"/>
        </w:rPr>
        <w:t xml:space="preserve">Galvenā pozitīvā ietekme uz vidi, kas ir viens no Plāna pamatmērķiem, ir siltumnīcefekta gāzu izmešu jeb klimata pārmaiņu mazināšanas pozitīvā ietekme, kas </w:t>
      </w:r>
      <w:r w:rsidRPr="004826D1">
        <w:rPr>
          <w:i/>
          <w:lang w:eastAsia="en-GB"/>
        </w:rPr>
        <w:t>a apriori</w:t>
      </w:r>
      <w:r w:rsidRPr="004826D1">
        <w:rPr>
          <w:lang w:eastAsia="en-GB"/>
        </w:rPr>
        <w:t xml:space="preserve"> ir pārrobežu ietekme: šo problēmu principā nerisina un nevērtē atsevišķi nacionālā mērogā, bet gan katriem nacionālajiem mērķiem šajā jomā ir loma tikai globālā, tātad pārrobežu kontekstā.</w:t>
      </w:r>
    </w:p>
    <w:p w14:paraId="7A49A550" w14:textId="77777777" w:rsidR="00DF2C4E" w:rsidRDefault="00DF2C4E" w:rsidP="00DF2C4E">
      <w:pPr>
        <w:spacing w:before="120" w:after="120"/>
        <w:jc w:val="both"/>
        <w:rPr>
          <w:lang w:eastAsia="en-GB"/>
        </w:rPr>
      </w:pPr>
      <w:r w:rsidRPr="004826D1">
        <w:rPr>
          <w:lang w:eastAsia="en-GB"/>
        </w:rPr>
        <w:t>Līdztekus pozitīvajai ietekmei uz globālo klimata pārmaiņu kavēšanu maza, tomēr pozitīva ietekme uz zemes dzīļu resursiem kaut kur citur pasaulē ir fosilā kurināmā izmantošanas samazinājumam Latvijā.</w:t>
      </w:r>
    </w:p>
    <w:p w14:paraId="39B8F46C" w14:textId="474A7139" w:rsidR="00823ED4" w:rsidRPr="004826D1" w:rsidRDefault="00823ED4" w:rsidP="00DF2C4E">
      <w:pPr>
        <w:spacing w:before="120" w:after="120"/>
        <w:jc w:val="both"/>
        <w:rPr>
          <w:lang w:eastAsia="en-GB"/>
        </w:rPr>
      </w:pPr>
      <w:r w:rsidRPr="00823ED4">
        <w:rPr>
          <w:lang w:eastAsia="en-GB"/>
        </w:rPr>
        <w:lastRenderedPageBreak/>
        <w:t xml:space="preserve">Pozitīva ietekme </w:t>
      </w:r>
      <w:r>
        <w:rPr>
          <w:lang w:eastAsia="en-GB"/>
        </w:rPr>
        <w:t>var būt</w:t>
      </w:r>
      <w:r w:rsidRPr="00823ED4">
        <w:rPr>
          <w:lang w:eastAsia="en-GB"/>
        </w:rPr>
        <w:t xml:space="preserve"> arī enerģētikas sadaļas pasākumiem, piemēram, elektroenerģijas starpsavienojumiem, gāzes pārvades sistēmas sasaiste</w:t>
      </w:r>
      <w:r>
        <w:rPr>
          <w:lang w:eastAsia="en-GB"/>
        </w:rPr>
        <w:t>i</w:t>
      </w:r>
      <w:r w:rsidRPr="00823ED4">
        <w:rPr>
          <w:lang w:eastAsia="en-GB"/>
        </w:rPr>
        <w:t xml:space="preserve"> (reģionālais gāzes tīkls), Inčukalna gāzes krātuves modernizēšana</w:t>
      </w:r>
      <w:r>
        <w:rPr>
          <w:lang w:eastAsia="en-GB"/>
        </w:rPr>
        <w:t>i</w:t>
      </w:r>
      <w:r w:rsidRPr="00823ED4">
        <w:rPr>
          <w:lang w:eastAsia="en-GB"/>
        </w:rPr>
        <w:t xml:space="preserve"> un pielāgošana</w:t>
      </w:r>
      <w:r>
        <w:rPr>
          <w:lang w:eastAsia="en-GB"/>
        </w:rPr>
        <w:t>i</w:t>
      </w:r>
      <w:r w:rsidRPr="00823ED4">
        <w:rPr>
          <w:lang w:eastAsia="en-GB"/>
        </w:rPr>
        <w:t xml:space="preserve"> </w:t>
      </w:r>
      <w:r>
        <w:rPr>
          <w:lang w:eastAsia="en-GB"/>
        </w:rPr>
        <w:t>ūdeņraža</w:t>
      </w:r>
      <w:r w:rsidRPr="00823ED4">
        <w:rPr>
          <w:lang w:eastAsia="en-GB"/>
        </w:rPr>
        <w:t xml:space="preserve"> vai uztvertā oglekļa uzglabāšanai.</w:t>
      </w:r>
    </w:p>
    <w:p w14:paraId="7657EA97" w14:textId="2EFA490F" w:rsidR="00DF2C4E" w:rsidRPr="004826D1" w:rsidRDefault="00DF2C4E" w:rsidP="00DF2C4E">
      <w:pPr>
        <w:spacing w:before="120" w:after="120"/>
        <w:jc w:val="both"/>
        <w:rPr>
          <w:lang w:eastAsia="en-GB"/>
        </w:rPr>
      </w:pPr>
      <w:r w:rsidRPr="004826D1">
        <w:rPr>
          <w:lang w:eastAsia="en-GB"/>
        </w:rPr>
        <w:t>Līdz ar to pārrobežu ietekmei var pievienot nebūtisku pozitīvu vērtējumu, bet būtiskā pozitīvā ietekme ir jau ievērtēta 7.7. sadaļā “Klimata pārmaiņas”, tāpēc to šajā nodaļā vairs nevar ievērtēt atkārtoti.</w:t>
      </w:r>
      <w:r w:rsidR="00BA2F8B">
        <w:rPr>
          <w:lang w:eastAsia="en-GB"/>
        </w:rPr>
        <w:t xml:space="preserve"> Neliela p</w:t>
      </w:r>
      <w:r w:rsidR="00BA2F8B" w:rsidRPr="00BA2F8B">
        <w:rPr>
          <w:lang w:eastAsia="en-GB"/>
        </w:rPr>
        <w:t>ozitīva ietekme ir arī enerģētikas sadaļas pasākumiem</w:t>
      </w:r>
      <w:r w:rsidR="00BA2F8B">
        <w:rPr>
          <w:lang w:eastAsia="en-GB"/>
        </w:rPr>
        <w:t>:</w:t>
      </w:r>
      <w:r w:rsidR="00BA2F8B" w:rsidRPr="00BA2F8B">
        <w:rPr>
          <w:lang w:eastAsia="en-GB"/>
        </w:rPr>
        <w:t xml:space="preserve"> piemēram, ele</w:t>
      </w:r>
      <w:r w:rsidR="00BA2F8B">
        <w:rPr>
          <w:lang w:eastAsia="en-GB"/>
        </w:rPr>
        <w:t>ktroenerģijas starpsavienojumi</w:t>
      </w:r>
      <w:r w:rsidR="00BA2F8B" w:rsidRPr="00BA2F8B">
        <w:rPr>
          <w:lang w:eastAsia="en-GB"/>
        </w:rPr>
        <w:t>, gāzes pārvades sistēmas sasaiste (reģionālais gāzes tīkls), Inčukalna gāzes krātuves modernizēšana un pielāgošana H</w:t>
      </w:r>
      <w:r w:rsidR="00BA2F8B" w:rsidRPr="00BA2F8B">
        <w:rPr>
          <w:vertAlign w:val="subscript"/>
          <w:lang w:eastAsia="en-GB"/>
        </w:rPr>
        <w:t>2</w:t>
      </w:r>
      <w:r w:rsidR="00BA2F8B" w:rsidRPr="00BA2F8B">
        <w:rPr>
          <w:lang w:eastAsia="en-GB"/>
        </w:rPr>
        <w:t xml:space="preserve"> vai uztvertā oglekļa uzglabāšanai.</w:t>
      </w:r>
    </w:p>
    <w:p w14:paraId="25CF9EDD" w14:textId="77777777" w:rsidR="003E1CBF" w:rsidRPr="004826D1" w:rsidRDefault="003E1CBF" w:rsidP="003E1CBF">
      <w:pPr>
        <w:spacing w:after="120"/>
        <w:ind w:firstLine="720"/>
        <w:jc w:val="both"/>
        <w:rPr>
          <w:i/>
          <w:u w:val="single"/>
          <w:lang w:eastAsia="lv-LV"/>
        </w:rPr>
      </w:pPr>
      <w:r w:rsidRPr="004826D1">
        <w:rPr>
          <w:i/>
          <w:u w:val="single"/>
          <w:lang w:eastAsia="lv-LV"/>
        </w:rPr>
        <w:t>Vērtējums: +1, tieša, ilgtermiņa, primāra, neatgriezeniska (pieņemot, ka videi draudzīgas enerģētikas attīstība nebeigsies)</w:t>
      </w:r>
      <w:r w:rsidR="00C71FCA" w:rsidRPr="004826D1">
        <w:rPr>
          <w:i/>
          <w:u w:val="single"/>
          <w:lang w:eastAsia="lv-LV"/>
        </w:rPr>
        <w:t xml:space="preserve"> </w:t>
      </w:r>
      <w:r w:rsidRPr="004826D1">
        <w:rPr>
          <w:i/>
          <w:u w:val="single"/>
          <w:lang w:eastAsia="lv-LV"/>
        </w:rPr>
        <w:t>ietekme.</w:t>
      </w:r>
    </w:p>
    <w:p w14:paraId="290E4F71" w14:textId="77777777" w:rsidR="003E1CBF" w:rsidRPr="004826D1" w:rsidRDefault="003E1CBF" w:rsidP="00DF2C4E">
      <w:pPr>
        <w:spacing w:before="120" w:after="120"/>
        <w:jc w:val="both"/>
        <w:rPr>
          <w:lang w:eastAsia="en-GB"/>
        </w:rPr>
      </w:pPr>
    </w:p>
    <w:p w14:paraId="250A5CA6" w14:textId="77777777" w:rsidR="00DF2C4E" w:rsidRPr="004826D1" w:rsidRDefault="00DF2C4E" w:rsidP="00DF2C4E">
      <w:pPr>
        <w:rPr>
          <w:lang w:eastAsia="en-GB"/>
        </w:rPr>
      </w:pPr>
    </w:p>
    <w:p w14:paraId="1991016E" w14:textId="77777777" w:rsidR="00D31F38" w:rsidRPr="004826D1" w:rsidRDefault="0012774A" w:rsidP="00D31F38">
      <w:pPr>
        <w:pStyle w:val="Heading2"/>
        <w:rPr>
          <w:rFonts w:ascii="Times New Roman" w:hAnsi="Times New Roman"/>
          <w:lang w:val="lv-LV"/>
        </w:rPr>
      </w:pPr>
      <w:bookmarkStart w:id="261" w:name="_Toc169602311"/>
      <w:r>
        <w:rPr>
          <w:rFonts w:ascii="Times New Roman" w:hAnsi="Times New Roman"/>
          <w:lang w:val="lv-LV"/>
        </w:rPr>
        <w:t>6</w:t>
      </w:r>
      <w:r w:rsidR="00D31F38" w:rsidRPr="004826D1">
        <w:rPr>
          <w:rFonts w:ascii="Times New Roman" w:hAnsi="Times New Roman"/>
          <w:lang w:val="lv-LV"/>
        </w:rPr>
        <w:t>.1</w:t>
      </w:r>
      <w:r w:rsidR="000D0A4B">
        <w:rPr>
          <w:rFonts w:ascii="Times New Roman" w:hAnsi="Times New Roman"/>
          <w:lang w:val="lv-LV"/>
        </w:rPr>
        <w:t>1</w:t>
      </w:r>
      <w:r w:rsidR="00D31F38" w:rsidRPr="004826D1">
        <w:rPr>
          <w:rFonts w:ascii="Times New Roman" w:hAnsi="Times New Roman"/>
          <w:lang w:val="lv-LV"/>
        </w:rPr>
        <w:t>. Kopvērtējums</w:t>
      </w:r>
      <w:bookmarkEnd w:id="261"/>
    </w:p>
    <w:p w14:paraId="6AF0AA7B" w14:textId="77777777" w:rsidR="00D31F38" w:rsidRPr="004826D1" w:rsidRDefault="00D31F38" w:rsidP="00D31F38">
      <w:pPr>
        <w:rPr>
          <w:lang w:eastAsia="en-GB"/>
        </w:rPr>
      </w:pPr>
    </w:p>
    <w:p w14:paraId="2DC92280" w14:textId="2C2AA77D" w:rsidR="006D4011" w:rsidRPr="004826D1" w:rsidRDefault="006D4011" w:rsidP="00F93493">
      <w:pPr>
        <w:spacing w:before="120" w:after="120"/>
        <w:jc w:val="both"/>
        <w:rPr>
          <w:lang w:eastAsia="en-GB"/>
        </w:rPr>
      </w:pPr>
      <w:r w:rsidRPr="004826D1">
        <w:rPr>
          <w:lang w:eastAsia="en-GB"/>
        </w:rPr>
        <w:t xml:space="preserve">Kā redzams, kvalitatīvi summējot šos nosacītos ietekmju un to būtiskuma vērtējumus, kurus kvantitatīvi summēt nav iespējams, iegūstama kopumā </w:t>
      </w:r>
      <w:r w:rsidR="00120D3F" w:rsidRPr="004826D1">
        <w:rPr>
          <w:lang w:eastAsia="en-GB"/>
        </w:rPr>
        <w:t xml:space="preserve">būtiski </w:t>
      </w:r>
      <w:r w:rsidR="000F61E0" w:rsidRPr="004826D1">
        <w:rPr>
          <w:lang w:eastAsia="en-GB"/>
        </w:rPr>
        <w:t xml:space="preserve">labvēlīga </w:t>
      </w:r>
      <w:r w:rsidRPr="004826D1">
        <w:rPr>
          <w:lang w:eastAsia="en-GB"/>
        </w:rPr>
        <w:t>ietekme uz vidi</w:t>
      </w:r>
      <w:r w:rsidR="00A410CD">
        <w:rPr>
          <w:lang w:eastAsia="en-GB"/>
        </w:rPr>
        <w:t xml:space="preserve"> (skat. 6. tabulu)</w:t>
      </w:r>
      <w:r w:rsidRPr="004826D1">
        <w:rPr>
          <w:lang w:eastAsia="en-GB"/>
        </w:rPr>
        <w:t>.</w:t>
      </w:r>
    </w:p>
    <w:p w14:paraId="183D5F0C" w14:textId="77777777" w:rsidR="00F93493" w:rsidRDefault="00F93493" w:rsidP="00F93493">
      <w:pPr>
        <w:spacing w:before="120" w:after="120"/>
        <w:jc w:val="both"/>
        <w:rPr>
          <w:lang w:eastAsia="en-GB"/>
        </w:rPr>
      </w:pPr>
      <w:r w:rsidRPr="004826D1">
        <w:rPr>
          <w:lang w:eastAsia="en-GB"/>
        </w:rPr>
        <w:t>Tomēr šis vērtējums neizbēgami ir iekšēji pretrunīgs. Galvenā</w:t>
      </w:r>
      <w:r w:rsidR="00D80C89" w:rsidRPr="004826D1">
        <w:rPr>
          <w:lang w:eastAsia="en-GB"/>
        </w:rPr>
        <w:t xml:space="preserve"> </w:t>
      </w:r>
      <w:r w:rsidRPr="004826D1">
        <w:rPr>
          <w:lang w:eastAsia="en-GB"/>
        </w:rPr>
        <w:t xml:space="preserve">pozitīvā ietekme uz vidi, kas ir </w:t>
      </w:r>
      <w:r w:rsidR="000F61E0" w:rsidRPr="004826D1">
        <w:rPr>
          <w:lang w:eastAsia="en-GB"/>
        </w:rPr>
        <w:t xml:space="preserve">tieši </w:t>
      </w:r>
      <w:r w:rsidRPr="004826D1">
        <w:rPr>
          <w:lang w:eastAsia="en-GB"/>
        </w:rPr>
        <w:t>viens no Plāna pamatmērķiem</w:t>
      </w:r>
      <w:r w:rsidR="000F61E0" w:rsidRPr="004826D1">
        <w:rPr>
          <w:lang w:eastAsia="en-GB"/>
        </w:rPr>
        <w:t xml:space="preserve"> un ir sasniegta izšķiroši labvēlīgas ietekmes līmenī</w:t>
      </w:r>
      <w:r w:rsidRPr="004826D1">
        <w:rPr>
          <w:lang w:eastAsia="en-GB"/>
        </w:rPr>
        <w:t>, ir siltumnīcefekta gāzu izmešu jeb klimata pārmaiņu mazināšanas pozitīvā ietekme:</w:t>
      </w:r>
      <w:r w:rsidR="002E2454" w:rsidRPr="004826D1">
        <w:rPr>
          <w:lang w:eastAsia="en-GB"/>
        </w:rPr>
        <w:t xml:space="preserve"> Plāns precīzi risina </w:t>
      </w:r>
      <w:r w:rsidR="00120D3F" w:rsidRPr="004826D1">
        <w:rPr>
          <w:lang w:eastAsia="en-GB"/>
        </w:rPr>
        <w:t xml:space="preserve">tikai vienu </w:t>
      </w:r>
      <w:r w:rsidR="002E2454" w:rsidRPr="004826D1">
        <w:rPr>
          <w:lang w:eastAsia="en-GB"/>
        </w:rPr>
        <w:t xml:space="preserve">vides problēmu, kuras risināšanai tas ir paredzēts, ar </w:t>
      </w:r>
      <w:r w:rsidR="000F61E0" w:rsidRPr="004826D1">
        <w:rPr>
          <w:lang w:eastAsia="en-GB"/>
        </w:rPr>
        <w:t xml:space="preserve">izšķiroši </w:t>
      </w:r>
      <w:r w:rsidR="002E2454" w:rsidRPr="004826D1">
        <w:rPr>
          <w:lang w:eastAsia="en-GB"/>
        </w:rPr>
        <w:t>būtisku ieguvumu, kamēr nebūtiskas pozitīvas un negatīvas ietekmes rada dažādās jomās, kuru ietekmēšana nav Plāna tiešais mērķis. Bet šī ir</w:t>
      </w:r>
      <w:r w:rsidRPr="004826D1">
        <w:rPr>
          <w:lang w:eastAsia="en-GB"/>
        </w:rPr>
        <w:t xml:space="preserve"> problēma, kuru principā nerisina un nevērtē atsevišķi nacionālā mērogā, jo katriem nacionālajiem mērķiem šajā jomā ir loma tikai globālā kontekstā. Savukārt pārējās ietekmes ir vērtētas nacionālā mērogā</w:t>
      </w:r>
      <w:r w:rsidR="00D92306" w:rsidRPr="004826D1">
        <w:rPr>
          <w:lang w:eastAsia="en-GB"/>
        </w:rPr>
        <w:t xml:space="preserve"> (izņemot vēl pārrobežu ietekmes, kurās savukārt jau </w:t>
      </w:r>
      <w:r w:rsidR="000F61E0" w:rsidRPr="004826D1">
        <w:rPr>
          <w:lang w:eastAsia="en-GB"/>
        </w:rPr>
        <w:t xml:space="preserve">izšķiroši </w:t>
      </w:r>
      <w:r w:rsidR="00D92306" w:rsidRPr="004826D1">
        <w:rPr>
          <w:lang w:eastAsia="en-GB"/>
        </w:rPr>
        <w:t>pozitīvi novērtētā klimatiskā ietekme nav atkārtoti ievērtēta)</w:t>
      </w:r>
      <w:r w:rsidRPr="004826D1">
        <w:rPr>
          <w:lang w:eastAsia="en-GB"/>
        </w:rPr>
        <w:t>. T</w:t>
      </w:r>
      <w:r w:rsidR="002E2454" w:rsidRPr="004826D1">
        <w:rPr>
          <w:lang w:eastAsia="en-GB"/>
        </w:rPr>
        <w:t>urklāt</w:t>
      </w:r>
      <w:r w:rsidRPr="004826D1">
        <w:rPr>
          <w:lang w:eastAsia="en-GB"/>
        </w:rPr>
        <w:t xml:space="preserve"> šī iekšējā pretruna nav raksturīga tikai šā Plāna stratēģiskajam ietekmes uz vidi novērtējumam: ikvienā </w:t>
      </w:r>
      <w:r w:rsidR="00541D9C" w:rsidRPr="004826D1">
        <w:rPr>
          <w:lang w:eastAsia="en-GB"/>
        </w:rPr>
        <w:t xml:space="preserve">Latvijas nacionāla vai lokāla plānošanas dokumenta </w:t>
      </w:r>
      <w:r w:rsidRPr="004826D1">
        <w:rPr>
          <w:lang w:eastAsia="en-GB"/>
        </w:rPr>
        <w:t>stratēģiskajā ietekmes uz vidi novērtējumā</w:t>
      </w:r>
      <w:r w:rsidR="00541D9C" w:rsidRPr="004826D1">
        <w:rPr>
          <w:lang w:eastAsia="en-GB"/>
        </w:rPr>
        <w:t xml:space="preserve"> mūsdienās tiek vērtēta arī ietekme uz globālo sasilšanu līdztekus pārējām ietekmēm, kurām ir lokāls vai nacionāls mērogs.</w:t>
      </w:r>
    </w:p>
    <w:p w14:paraId="767AF01F" w14:textId="77777777" w:rsidR="00E764F1" w:rsidRDefault="00E764F1" w:rsidP="00E764F1">
      <w:pPr>
        <w:spacing w:before="120" w:after="120"/>
        <w:jc w:val="both"/>
        <w:rPr>
          <w:lang w:eastAsia="en-GB"/>
        </w:rPr>
      </w:pPr>
      <w:r w:rsidRPr="004826D1">
        <w:rPr>
          <w:lang w:eastAsia="en-GB"/>
        </w:rPr>
        <w:t>Atskaitot no Plāna vides ietekmju kopvērtējuma šo pozitīvo ietekmi uz globālo klimatu, vērtējums kļūtu neitrāls, un atskaitot pārējās nebūtiskās pozitīvās pārrobežu ietekmes – pat nedaudz negatīvs tieši Latvijas iekšējā, nacionālajā mērogā. Šāds rezultāts ir arī saprotams, jo nacionālā mērogā Plāna pozitīvās ietekmes ir visai nemanāmas (piesārņojošo vielu izmešu samazinājums situācijā, kad arī bez tā nav būtisku problēmu ar šiem izmešiem, kamēr visas nebūtiskās negatīvās ietekmes rada tikai viena un tā pati Plāna rīcībpolitika – vēja enerģētikas veicināšana, un kopsummā šīs nebūtiskās ietekmes savācas trīs. Tā vienlaikus būs arī vienīgā acīmredzamā pārmaiņa Latvijas vidē, kas būs organoleptiski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655ADF6D" w14:textId="77777777" w:rsidR="00E764F1" w:rsidRPr="004826D1" w:rsidRDefault="00E764F1" w:rsidP="00E764F1">
      <w:pPr>
        <w:spacing w:before="120" w:after="120"/>
        <w:jc w:val="both"/>
        <w:rPr>
          <w:lang w:eastAsia="en-GB"/>
        </w:rPr>
      </w:pPr>
      <w:r w:rsidRPr="004826D1">
        <w:rPr>
          <w:lang w:eastAsia="en-GB"/>
        </w:rPr>
        <w:lastRenderedPageBreak/>
        <w:t>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kas liegtu Plānu īstenot, ja to pamato sabiedriski nozīmīgi politiska un ekonomiska rakstura apsvērumi.</w:t>
      </w:r>
    </w:p>
    <w:p w14:paraId="08671AC7" w14:textId="77777777" w:rsidR="00E764F1" w:rsidRDefault="00E764F1" w:rsidP="00F93493">
      <w:pPr>
        <w:spacing w:before="120" w:after="120"/>
        <w:jc w:val="both"/>
        <w:rPr>
          <w:lang w:eastAsia="en-GB"/>
        </w:rPr>
      </w:pPr>
    </w:p>
    <w:p w14:paraId="4D6FCAFE" w14:textId="77777777" w:rsidR="000D0A4B" w:rsidRDefault="000D0A4B" w:rsidP="000D0A4B">
      <w:pPr>
        <w:spacing w:after="120"/>
        <w:rPr>
          <w:b/>
          <w:szCs w:val="24"/>
          <w:lang w:eastAsia="lv-LV"/>
        </w:rPr>
      </w:pPr>
    </w:p>
    <w:p w14:paraId="54CB5660" w14:textId="77777777" w:rsidR="000D0A4B" w:rsidRPr="004826D1" w:rsidRDefault="000D0A4B" w:rsidP="000D0A4B">
      <w:pPr>
        <w:spacing w:after="120"/>
        <w:rPr>
          <w:b/>
          <w:szCs w:val="24"/>
          <w:lang w:eastAsia="en-GB"/>
        </w:rPr>
      </w:pPr>
      <w:r w:rsidRPr="004826D1">
        <w:rPr>
          <w:b/>
          <w:szCs w:val="24"/>
          <w:lang w:eastAsia="lv-LV"/>
        </w:rPr>
        <w:t xml:space="preserve">6. tabula. </w:t>
      </w:r>
      <w:r w:rsidRPr="004826D1">
        <w:rPr>
          <w:b/>
          <w:szCs w:val="24"/>
        </w:rPr>
        <w:t>Plāna īstenošanas ietekmju uz vidi novērtējuma apkopojums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71"/>
        <w:gridCol w:w="2798"/>
        <w:gridCol w:w="5918"/>
      </w:tblGrid>
      <w:tr w:rsidR="000D0A4B" w:rsidRPr="004826D1" w14:paraId="00E6860A" w14:textId="77777777" w:rsidTr="00B71063">
        <w:trPr>
          <w:cantSplit/>
          <w:trHeight w:val="523"/>
          <w:jc w:val="center"/>
        </w:trPr>
        <w:tc>
          <w:tcPr>
            <w:tcW w:w="571" w:type="dxa"/>
            <w:shd w:val="clear" w:color="auto" w:fill="E7E6E6"/>
          </w:tcPr>
          <w:p w14:paraId="17BD947E" w14:textId="77777777" w:rsidR="000D0A4B" w:rsidRPr="004826D1" w:rsidRDefault="000D0A4B" w:rsidP="00B71063">
            <w:pPr>
              <w:rPr>
                <w:b/>
                <w:sz w:val="22"/>
                <w:szCs w:val="22"/>
              </w:rPr>
            </w:pPr>
            <w:r w:rsidRPr="004826D1">
              <w:rPr>
                <w:b/>
                <w:sz w:val="22"/>
                <w:szCs w:val="22"/>
              </w:rPr>
              <w:t>Nr.</w:t>
            </w:r>
          </w:p>
          <w:p w14:paraId="5EF663AA" w14:textId="77777777" w:rsidR="000D0A4B" w:rsidRPr="004826D1" w:rsidRDefault="000D0A4B" w:rsidP="00B71063">
            <w:pPr>
              <w:rPr>
                <w:b/>
                <w:sz w:val="22"/>
                <w:szCs w:val="22"/>
              </w:rPr>
            </w:pPr>
            <w:r w:rsidRPr="004826D1">
              <w:rPr>
                <w:b/>
                <w:sz w:val="22"/>
                <w:szCs w:val="22"/>
              </w:rPr>
              <w:t>p.k.</w:t>
            </w:r>
          </w:p>
        </w:tc>
        <w:tc>
          <w:tcPr>
            <w:tcW w:w="2798" w:type="dxa"/>
            <w:shd w:val="clear" w:color="auto" w:fill="E7E6E6"/>
          </w:tcPr>
          <w:p w14:paraId="2D5A4BF2" w14:textId="77777777" w:rsidR="000D0A4B" w:rsidRPr="004826D1" w:rsidRDefault="000D0A4B" w:rsidP="00B71063">
            <w:pPr>
              <w:rPr>
                <w:b/>
                <w:sz w:val="22"/>
                <w:szCs w:val="22"/>
              </w:rPr>
            </w:pPr>
            <w:r w:rsidRPr="004826D1">
              <w:rPr>
                <w:b/>
                <w:sz w:val="22"/>
                <w:szCs w:val="22"/>
              </w:rPr>
              <w:t>Ietekmes veids</w:t>
            </w:r>
          </w:p>
        </w:tc>
        <w:tc>
          <w:tcPr>
            <w:tcW w:w="5918" w:type="dxa"/>
            <w:shd w:val="clear" w:color="auto" w:fill="E7E6E6"/>
          </w:tcPr>
          <w:p w14:paraId="7C205EEC" w14:textId="77777777" w:rsidR="000D0A4B" w:rsidRPr="004826D1" w:rsidRDefault="000D0A4B" w:rsidP="00B71063">
            <w:pPr>
              <w:rPr>
                <w:b/>
                <w:sz w:val="22"/>
                <w:szCs w:val="22"/>
              </w:rPr>
            </w:pPr>
            <w:r w:rsidRPr="004826D1">
              <w:rPr>
                <w:b/>
                <w:sz w:val="22"/>
                <w:szCs w:val="22"/>
              </w:rPr>
              <w:t>Vērtējums</w:t>
            </w:r>
          </w:p>
        </w:tc>
      </w:tr>
      <w:tr w:rsidR="000D0A4B" w:rsidRPr="004826D1" w14:paraId="29D27118" w14:textId="77777777" w:rsidTr="00B71063">
        <w:trPr>
          <w:cantSplit/>
          <w:trHeight w:val="523"/>
          <w:jc w:val="center"/>
        </w:trPr>
        <w:tc>
          <w:tcPr>
            <w:tcW w:w="571" w:type="dxa"/>
          </w:tcPr>
          <w:p w14:paraId="26B0DC51" w14:textId="77777777" w:rsidR="000D0A4B" w:rsidRPr="004826D1" w:rsidRDefault="000D0A4B" w:rsidP="00B71063">
            <w:pPr>
              <w:rPr>
                <w:sz w:val="22"/>
                <w:szCs w:val="22"/>
              </w:rPr>
            </w:pPr>
            <w:r w:rsidRPr="004826D1">
              <w:rPr>
                <w:sz w:val="22"/>
                <w:szCs w:val="22"/>
              </w:rPr>
              <w:t>1.</w:t>
            </w:r>
          </w:p>
        </w:tc>
        <w:tc>
          <w:tcPr>
            <w:tcW w:w="2798" w:type="dxa"/>
          </w:tcPr>
          <w:p w14:paraId="6A00C91F" w14:textId="77777777" w:rsidR="000D0A4B" w:rsidRPr="004826D1" w:rsidRDefault="000D0A4B" w:rsidP="00B71063">
            <w:pPr>
              <w:rPr>
                <w:sz w:val="22"/>
                <w:szCs w:val="22"/>
              </w:rPr>
            </w:pPr>
            <w:r w:rsidRPr="004826D1">
              <w:rPr>
                <w:sz w:val="22"/>
                <w:szCs w:val="22"/>
              </w:rPr>
              <w:t>Bioloģiskā daudzveidība</w:t>
            </w:r>
          </w:p>
        </w:tc>
        <w:tc>
          <w:tcPr>
            <w:tcW w:w="5918" w:type="dxa"/>
          </w:tcPr>
          <w:p w14:paraId="5038B05B" w14:textId="7493A4E1" w:rsidR="000D0A4B" w:rsidRPr="00D5010D" w:rsidRDefault="00D5010D" w:rsidP="00D5010D">
            <w:pPr>
              <w:jc w:val="center"/>
              <w:rPr>
                <w:b/>
                <w:i/>
                <w:lang w:eastAsia="lv-LV"/>
              </w:rPr>
            </w:pPr>
            <w:r>
              <w:rPr>
                <w:b/>
                <w:i/>
                <w:lang w:eastAsia="lv-LV"/>
              </w:rPr>
              <w:t>0</w:t>
            </w:r>
          </w:p>
        </w:tc>
      </w:tr>
      <w:tr w:rsidR="000D0A4B" w:rsidRPr="004826D1" w14:paraId="01DEDD24" w14:textId="77777777" w:rsidTr="00B71063">
        <w:trPr>
          <w:cantSplit/>
          <w:trHeight w:val="523"/>
          <w:jc w:val="center"/>
        </w:trPr>
        <w:tc>
          <w:tcPr>
            <w:tcW w:w="571" w:type="dxa"/>
          </w:tcPr>
          <w:p w14:paraId="09497DFD" w14:textId="77777777" w:rsidR="000D0A4B" w:rsidRPr="004826D1" w:rsidRDefault="000D0A4B" w:rsidP="00B71063">
            <w:pPr>
              <w:rPr>
                <w:sz w:val="22"/>
                <w:szCs w:val="22"/>
              </w:rPr>
            </w:pPr>
            <w:r w:rsidRPr="004826D1">
              <w:rPr>
                <w:sz w:val="22"/>
                <w:szCs w:val="22"/>
              </w:rPr>
              <w:t>2.</w:t>
            </w:r>
          </w:p>
        </w:tc>
        <w:tc>
          <w:tcPr>
            <w:tcW w:w="2798" w:type="dxa"/>
          </w:tcPr>
          <w:p w14:paraId="63730556" w14:textId="77777777" w:rsidR="000D0A4B" w:rsidRPr="004826D1" w:rsidRDefault="000D0A4B" w:rsidP="00B71063">
            <w:pPr>
              <w:rPr>
                <w:sz w:val="22"/>
                <w:szCs w:val="22"/>
              </w:rPr>
            </w:pPr>
            <w:r w:rsidRPr="004826D1">
              <w:rPr>
                <w:sz w:val="22"/>
                <w:szCs w:val="22"/>
              </w:rPr>
              <w:t>Meža resursi</w:t>
            </w:r>
          </w:p>
        </w:tc>
        <w:tc>
          <w:tcPr>
            <w:tcW w:w="5918" w:type="dxa"/>
          </w:tcPr>
          <w:p w14:paraId="0BAC6179" w14:textId="77777777" w:rsidR="00823ED4" w:rsidRPr="004826D1" w:rsidRDefault="00823ED4" w:rsidP="00823ED4">
            <w:pPr>
              <w:jc w:val="center"/>
              <w:rPr>
                <w:b/>
                <w:i/>
                <w:lang w:eastAsia="lv-LV"/>
              </w:rPr>
            </w:pPr>
            <w:r w:rsidRPr="004826D1">
              <w:rPr>
                <w:b/>
                <w:i/>
                <w:lang w:eastAsia="lv-LV"/>
              </w:rPr>
              <w:t>+1</w:t>
            </w:r>
          </w:p>
          <w:p w14:paraId="4EA09772" w14:textId="6F241B46" w:rsidR="000D0A4B" w:rsidRPr="004826D1" w:rsidRDefault="00823ED4" w:rsidP="00823ED4">
            <w:pPr>
              <w:jc w:val="center"/>
              <w:rPr>
                <w:rFonts w:cs="Times New Roman"/>
                <w:b/>
                <w:i/>
                <w:szCs w:val="24"/>
                <w:lang w:eastAsia="lv-LV"/>
              </w:rPr>
            </w:pPr>
            <w:r w:rsidRPr="004826D1">
              <w:rPr>
                <w:i/>
                <w:lang w:eastAsia="lv-LV"/>
              </w:rPr>
              <w:t>tieša, ilgtermiņa, primāra, neatgriezeniska (pieņemot, ka videi draudzīgas enerģētikas attīstība nebeigsies) ietekme.</w:t>
            </w:r>
          </w:p>
        </w:tc>
      </w:tr>
      <w:tr w:rsidR="000D0A4B" w:rsidRPr="004826D1" w14:paraId="54FE0E0D" w14:textId="77777777" w:rsidTr="00B71063">
        <w:trPr>
          <w:cantSplit/>
          <w:trHeight w:val="523"/>
          <w:jc w:val="center"/>
        </w:trPr>
        <w:tc>
          <w:tcPr>
            <w:tcW w:w="571" w:type="dxa"/>
          </w:tcPr>
          <w:p w14:paraId="5DD650B2" w14:textId="77777777" w:rsidR="000D0A4B" w:rsidRPr="004826D1" w:rsidRDefault="000D0A4B" w:rsidP="00B71063">
            <w:pPr>
              <w:rPr>
                <w:sz w:val="22"/>
                <w:szCs w:val="22"/>
              </w:rPr>
            </w:pPr>
            <w:r w:rsidRPr="004826D1">
              <w:rPr>
                <w:sz w:val="22"/>
                <w:szCs w:val="22"/>
              </w:rPr>
              <w:t>3.</w:t>
            </w:r>
          </w:p>
        </w:tc>
        <w:tc>
          <w:tcPr>
            <w:tcW w:w="2798" w:type="dxa"/>
          </w:tcPr>
          <w:p w14:paraId="01E2935D" w14:textId="77777777" w:rsidR="000D0A4B" w:rsidRPr="004826D1" w:rsidRDefault="000D0A4B" w:rsidP="00B71063">
            <w:pPr>
              <w:rPr>
                <w:sz w:val="22"/>
                <w:szCs w:val="22"/>
              </w:rPr>
            </w:pPr>
            <w:r w:rsidRPr="004826D1">
              <w:rPr>
                <w:sz w:val="22"/>
                <w:szCs w:val="22"/>
              </w:rPr>
              <w:t>Ūdens resursi</w:t>
            </w:r>
          </w:p>
        </w:tc>
        <w:tc>
          <w:tcPr>
            <w:tcW w:w="5918" w:type="dxa"/>
          </w:tcPr>
          <w:p w14:paraId="6C3C00F8" w14:textId="77777777" w:rsidR="000D0A4B" w:rsidRPr="004826D1" w:rsidRDefault="000D0A4B" w:rsidP="00B71063">
            <w:pPr>
              <w:jc w:val="center"/>
              <w:rPr>
                <w:rFonts w:cs="Times New Roman"/>
                <w:b/>
                <w:i/>
                <w:szCs w:val="24"/>
                <w:lang w:eastAsia="lv-LV"/>
              </w:rPr>
            </w:pPr>
            <w:r w:rsidRPr="004826D1">
              <w:rPr>
                <w:b/>
                <w:i/>
                <w:lang w:eastAsia="lv-LV"/>
              </w:rPr>
              <w:t>0</w:t>
            </w:r>
          </w:p>
        </w:tc>
      </w:tr>
      <w:tr w:rsidR="000D0A4B" w:rsidRPr="004826D1" w14:paraId="1A4B834A" w14:textId="77777777" w:rsidTr="00B71063">
        <w:trPr>
          <w:cantSplit/>
          <w:trHeight w:val="604"/>
          <w:jc w:val="center"/>
        </w:trPr>
        <w:tc>
          <w:tcPr>
            <w:tcW w:w="571" w:type="dxa"/>
          </w:tcPr>
          <w:p w14:paraId="316DDF1E" w14:textId="77777777" w:rsidR="000D0A4B" w:rsidRPr="004826D1" w:rsidRDefault="000D0A4B" w:rsidP="00B71063">
            <w:pPr>
              <w:rPr>
                <w:sz w:val="22"/>
                <w:szCs w:val="22"/>
              </w:rPr>
            </w:pPr>
            <w:r w:rsidRPr="004826D1">
              <w:rPr>
                <w:sz w:val="22"/>
                <w:szCs w:val="22"/>
              </w:rPr>
              <w:t>4.</w:t>
            </w:r>
          </w:p>
        </w:tc>
        <w:tc>
          <w:tcPr>
            <w:tcW w:w="2798" w:type="dxa"/>
          </w:tcPr>
          <w:p w14:paraId="5F1545EF" w14:textId="77777777" w:rsidR="000D0A4B" w:rsidRPr="004826D1" w:rsidRDefault="000D0A4B" w:rsidP="00B71063">
            <w:pPr>
              <w:rPr>
                <w:sz w:val="22"/>
                <w:szCs w:val="22"/>
              </w:rPr>
            </w:pPr>
            <w:r w:rsidRPr="004826D1">
              <w:rPr>
                <w:sz w:val="22"/>
                <w:szCs w:val="22"/>
              </w:rPr>
              <w:t>Augsne</w:t>
            </w:r>
          </w:p>
        </w:tc>
        <w:tc>
          <w:tcPr>
            <w:tcW w:w="5918" w:type="dxa"/>
          </w:tcPr>
          <w:p w14:paraId="0B4CBF17" w14:textId="5BB54A02" w:rsidR="000D0A4B" w:rsidRPr="00823ED4" w:rsidRDefault="00823ED4" w:rsidP="00823ED4">
            <w:pPr>
              <w:spacing w:after="120"/>
              <w:jc w:val="center"/>
              <w:rPr>
                <w:b/>
                <w:i/>
                <w:lang w:eastAsia="lv-LV"/>
              </w:rPr>
            </w:pPr>
            <w:r>
              <w:rPr>
                <w:b/>
                <w:i/>
                <w:lang w:eastAsia="lv-LV"/>
              </w:rPr>
              <w:t>0</w:t>
            </w:r>
          </w:p>
        </w:tc>
      </w:tr>
      <w:tr w:rsidR="000D0A4B" w:rsidRPr="004826D1" w14:paraId="55FCB71E" w14:textId="77777777" w:rsidTr="00B71063">
        <w:trPr>
          <w:cantSplit/>
          <w:trHeight w:val="523"/>
          <w:jc w:val="center"/>
        </w:trPr>
        <w:tc>
          <w:tcPr>
            <w:tcW w:w="571" w:type="dxa"/>
          </w:tcPr>
          <w:p w14:paraId="5DF86E9F" w14:textId="77777777" w:rsidR="000D0A4B" w:rsidRPr="004826D1" w:rsidRDefault="000D0A4B" w:rsidP="00B71063">
            <w:pPr>
              <w:rPr>
                <w:sz w:val="22"/>
                <w:szCs w:val="22"/>
              </w:rPr>
            </w:pPr>
            <w:r>
              <w:rPr>
                <w:sz w:val="22"/>
                <w:szCs w:val="22"/>
              </w:rPr>
              <w:t>5</w:t>
            </w:r>
            <w:r w:rsidRPr="004826D1">
              <w:rPr>
                <w:sz w:val="22"/>
                <w:szCs w:val="22"/>
              </w:rPr>
              <w:t>.</w:t>
            </w:r>
          </w:p>
        </w:tc>
        <w:tc>
          <w:tcPr>
            <w:tcW w:w="2798" w:type="dxa"/>
          </w:tcPr>
          <w:p w14:paraId="1EB8A135" w14:textId="77777777" w:rsidR="000D0A4B" w:rsidRPr="004826D1" w:rsidRDefault="000D0A4B" w:rsidP="00B71063">
            <w:pPr>
              <w:rPr>
                <w:sz w:val="22"/>
                <w:szCs w:val="22"/>
              </w:rPr>
            </w:pPr>
            <w:r w:rsidRPr="004826D1">
              <w:rPr>
                <w:sz w:val="22"/>
                <w:szCs w:val="22"/>
              </w:rPr>
              <w:t>Atmosfēras gaisa kvalitāte</w:t>
            </w:r>
          </w:p>
        </w:tc>
        <w:tc>
          <w:tcPr>
            <w:tcW w:w="5918" w:type="dxa"/>
          </w:tcPr>
          <w:p w14:paraId="2C0D20C2" w14:textId="77777777" w:rsidR="000D0A4B" w:rsidRPr="004826D1" w:rsidRDefault="000D0A4B" w:rsidP="00B71063">
            <w:pPr>
              <w:jc w:val="center"/>
              <w:rPr>
                <w:b/>
                <w:i/>
                <w:lang w:eastAsia="lv-LV"/>
              </w:rPr>
            </w:pPr>
            <w:r w:rsidRPr="004826D1">
              <w:rPr>
                <w:b/>
                <w:i/>
                <w:lang w:eastAsia="lv-LV"/>
              </w:rPr>
              <w:t>+1</w:t>
            </w:r>
          </w:p>
          <w:p w14:paraId="0EAE764A"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w:t>
            </w:r>
          </w:p>
        </w:tc>
      </w:tr>
      <w:tr w:rsidR="000D0A4B" w:rsidRPr="004826D1" w14:paraId="0520DEC0" w14:textId="77777777" w:rsidTr="00B71063">
        <w:trPr>
          <w:cantSplit/>
          <w:trHeight w:val="523"/>
          <w:jc w:val="center"/>
        </w:trPr>
        <w:tc>
          <w:tcPr>
            <w:tcW w:w="571" w:type="dxa"/>
          </w:tcPr>
          <w:p w14:paraId="5B09E99D" w14:textId="77777777" w:rsidR="000D0A4B" w:rsidRPr="004826D1" w:rsidRDefault="000D0A4B" w:rsidP="00B71063">
            <w:pPr>
              <w:rPr>
                <w:sz w:val="22"/>
                <w:szCs w:val="22"/>
              </w:rPr>
            </w:pPr>
            <w:r>
              <w:rPr>
                <w:sz w:val="22"/>
                <w:szCs w:val="22"/>
              </w:rPr>
              <w:t>6</w:t>
            </w:r>
            <w:r w:rsidRPr="004826D1">
              <w:rPr>
                <w:sz w:val="22"/>
                <w:szCs w:val="22"/>
              </w:rPr>
              <w:t>.</w:t>
            </w:r>
          </w:p>
        </w:tc>
        <w:tc>
          <w:tcPr>
            <w:tcW w:w="2798" w:type="dxa"/>
          </w:tcPr>
          <w:p w14:paraId="26542592" w14:textId="77777777" w:rsidR="000D0A4B" w:rsidRPr="004826D1" w:rsidRDefault="000D0A4B" w:rsidP="00B71063">
            <w:pPr>
              <w:rPr>
                <w:sz w:val="22"/>
                <w:szCs w:val="22"/>
              </w:rPr>
            </w:pPr>
            <w:r w:rsidRPr="004826D1">
              <w:rPr>
                <w:sz w:val="22"/>
                <w:szCs w:val="22"/>
              </w:rPr>
              <w:t>Ainavas</w:t>
            </w:r>
          </w:p>
        </w:tc>
        <w:tc>
          <w:tcPr>
            <w:tcW w:w="5918" w:type="dxa"/>
          </w:tcPr>
          <w:p w14:paraId="05321D59" w14:textId="77777777" w:rsidR="000D0A4B" w:rsidRPr="004826D1" w:rsidRDefault="000D0A4B" w:rsidP="00B71063">
            <w:pPr>
              <w:jc w:val="center"/>
              <w:rPr>
                <w:b/>
                <w:i/>
                <w:lang w:eastAsia="lv-LV"/>
              </w:rPr>
            </w:pPr>
            <w:r w:rsidRPr="004826D1">
              <w:rPr>
                <w:b/>
                <w:i/>
                <w:lang w:eastAsia="lv-LV"/>
              </w:rPr>
              <w:t>-1</w:t>
            </w:r>
          </w:p>
          <w:p w14:paraId="6E9C817F" w14:textId="77777777" w:rsidR="000D0A4B" w:rsidRPr="004826D1" w:rsidRDefault="000D0A4B" w:rsidP="00B71063">
            <w:pPr>
              <w:jc w:val="center"/>
              <w:rPr>
                <w:sz w:val="22"/>
                <w:szCs w:val="22"/>
              </w:rPr>
            </w:pPr>
            <w:r w:rsidRPr="004826D1">
              <w:rPr>
                <w:i/>
                <w:lang w:eastAsia="lv-LV"/>
              </w:rPr>
              <w:t>tieša, ilgtermiņa, primāra, neatgriezeniska (pieņemot, ka vēja enerģētikas attīstība nebeigsies) ietekme.</w:t>
            </w:r>
          </w:p>
        </w:tc>
      </w:tr>
      <w:tr w:rsidR="000D0A4B" w:rsidRPr="004826D1" w14:paraId="60D80226" w14:textId="77777777" w:rsidTr="00B71063">
        <w:trPr>
          <w:cantSplit/>
          <w:trHeight w:val="523"/>
          <w:jc w:val="center"/>
        </w:trPr>
        <w:tc>
          <w:tcPr>
            <w:tcW w:w="571" w:type="dxa"/>
          </w:tcPr>
          <w:p w14:paraId="590E17BB" w14:textId="77777777" w:rsidR="000D0A4B" w:rsidRPr="004826D1" w:rsidRDefault="000D0A4B" w:rsidP="00B71063">
            <w:pPr>
              <w:rPr>
                <w:sz w:val="22"/>
                <w:szCs w:val="22"/>
              </w:rPr>
            </w:pPr>
            <w:r>
              <w:rPr>
                <w:sz w:val="22"/>
                <w:szCs w:val="22"/>
              </w:rPr>
              <w:t>7</w:t>
            </w:r>
            <w:r w:rsidRPr="004826D1">
              <w:rPr>
                <w:sz w:val="22"/>
                <w:szCs w:val="22"/>
              </w:rPr>
              <w:t>.</w:t>
            </w:r>
          </w:p>
        </w:tc>
        <w:tc>
          <w:tcPr>
            <w:tcW w:w="2798" w:type="dxa"/>
          </w:tcPr>
          <w:p w14:paraId="0CB152AE" w14:textId="77777777" w:rsidR="000D0A4B" w:rsidRPr="004826D1" w:rsidRDefault="000D0A4B" w:rsidP="00B71063">
            <w:pPr>
              <w:rPr>
                <w:sz w:val="22"/>
                <w:szCs w:val="22"/>
              </w:rPr>
            </w:pPr>
            <w:r w:rsidRPr="004826D1">
              <w:rPr>
                <w:sz w:val="22"/>
                <w:szCs w:val="22"/>
              </w:rPr>
              <w:t>Kultūrvēsturiskie objekti</w:t>
            </w:r>
          </w:p>
        </w:tc>
        <w:tc>
          <w:tcPr>
            <w:tcW w:w="5918" w:type="dxa"/>
          </w:tcPr>
          <w:p w14:paraId="09BD865A" w14:textId="77777777" w:rsidR="000D0A4B" w:rsidRPr="004826D1" w:rsidRDefault="000D0A4B" w:rsidP="00B71063">
            <w:pPr>
              <w:jc w:val="center"/>
              <w:rPr>
                <w:b/>
                <w:i/>
                <w:lang w:eastAsia="lv-LV"/>
              </w:rPr>
            </w:pPr>
            <w:r w:rsidRPr="004826D1">
              <w:rPr>
                <w:b/>
                <w:i/>
                <w:lang w:eastAsia="lv-LV"/>
              </w:rPr>
              <w:t>0</w:t>
            </w:r>
          </w:p>
          <w:p w14:paraId="46D7D375" w14:textId="77777777" w:rsidR="000D0A4B" w:rsidRPr="004826D1" w:rsidRDefault="000D0A4B" w:rsidP="00B71063">
            <w:pPr>
              <w:jc w:val="center"/>
              <w:rPr>
                <w:i/>
                <w:lang w:eastAsia="lv-LV"/>
              </w:rPr>
            </w:pPr>
            <w:r w:rsidRPr="004826D1">
              <w:rPr>
                <w:i/>
                <w:lang w:eastAsia="lv-LV"/>
              </w:rPr>
              <w:t>(lai atkārtoti neievērtētu to pašu negatīvo ietekmi uz ainavu)</w:t>
            </w:r>
          </w:p>
        </w:tc>
      </w:tr>
      <w:tr w:rsidR="000D0A4B" w:rsidRPr="004826D1" w14:paraId="37B02475" w14:textId="77777777" w:rsidTr="00B71063">
        <w:trPr>
          <w:cantSplit/>
          <w:trHeight w:val="523"/>
          <w:jc w:val="center"/>
        </w:trPr>
        <w:tc>
          <w:tcPr>
            <w:tcW w:w="571" w:type="dxa"/>
          </w:tcPr>
          <w:p w14:paraId="59D7530E" w14:textId="77777777" w:rsidR="000D0A4B" w:rsidRPr="004826D1" w:rsidRDefault="000D0A4B" w:rsidP="00B71063">
            <w:pPr>
              <w:rPr>
                <w:sz w:val="22"/>
                <w:szCs w:val="22"/>
              </w:rPr>
            </w:pPr>
            <w:r>
              <w:rPr>
                <w:sz w:val="22"/>
                <w:szCs w:val="22"/>
              </w:rPr>
              <w:t>8</w:t>
            </w:r>
            <w:r w:rsidRPr="004826D1">
              <w:rPr>
                <w:sz w:val="22"/>
                <w:szCs w:val="22"/>
              </w:rPr>
              <w:t>.</w:t>
            </w:r>
          </w:p>
        </w:tc>
        <w:tc>
          <w:tcPr>
            <w:tcW w:w="2798" w:type="dxa"/>
          </w:tcPr>
          <w:p w14:paraId="349A2577" w14:textId="77777777" w:rsidR="000D0A4B" w:rsidRPr="004826D1" w:rsidRDefault="000D0A4B" w:rsidP="00B71063">
            <w:pPr>
              <w:rPr>
                <w:sz w:val="22"/>
                <w:szCs w:val="22"/>
              </w:rPr>
            </w:pPr>
            <w:r w:rsidRPr="004826D1">
              <w:rPr>
                <w:sz w:val="22"/>
                <w:szCs w:val="22"/>
              </w:rPr>
              <w:t>Trokšņa līmenis</w:t>
            </w:r>
          </w:p>
        </w:tc>
        <w:tc>
          <w:tcPr>
            <w:tcW w:w="5918" w:type="dxa"/>
          </w:tcPr>
          <w:p w14:paraId="189C16DB" w14:textId="77777777" w:rsidR="000D0A4B" w:rsidRPr="004826D1" w:rsidRDefault="000D0A4B" w:rsidP="00B71063">
            <w:pPr>
              <w:jc w:val="center"/>
              <w:rPr>
                <w:b/>
                <w:i/>
                <w:lang w:eastAsia="lv-LV"/>
              </w:rPr>
            </w:pPr>
            <w:r w:rsidRPr="004826D1">
              <w:rPr>
                <w:b/>
                <w:i/>
                <w:lang w:eastAsia="lv-LV"/>
              </w:rPr>
              <w:t>-1</w:t>
            </w:r>
          </w:p>
          <w:p w14:paraId="3725941E" w14:textId="77777777" w:rsidR="000D0A4B" w:rsidRPr="004826D1" w:rsidRDefault="000D0A4B" w:rsidP="00B71063">
            <w:pPr>
              <w:jc w:val="center"/>
              <w:rPr>
                <w:sz w:val="22"/>
                <w:szCs w:val="22"/>
              </w:rPr>
            </w:pPr>
            <w:r w:rsidRPr="004826D1">
              <w:rPr>
                <w:i/>
                <w:lang w:eastAsia="lv-LV"/>
              </w:rPr>
              <w:t>tieša, ilgtermiņa, primāra, neatgriezeniska (pieņemot, ka vēja enerģētikas attīstība nebeigsies) ietekme.</w:t>
            </w:r>
          </w:p>
        </w:tc>
      </w:tr>
      <w:tr w:rsidR="000D0A4B" w:rsidRPr="004826D1" w14:paraId="671C4757" w14:textId="77777777" w:rsidTr="00B71063">
        <w:trPr>
          <w:cantSplit/>
          <w:trHeight w:val="523"/>
          <w:jc w:val="center"/>
        </w:trPr>
        <w:tc>
          <w:tcPr>
            <w:tcW w:w="571" w:type="dxa"/>
          </w:tcPr>
          <w:p w14:paraId="7B736302" w14:textId="77777777" w:rsidR="000D0A4B" w:rsidRPr="004826D1" w:rsidRDefault="000D0A4B" w:rsidP="00B71063">
            <w:pPr>
              <w:rPr>
                <w:sz w:val="22"/>
                <w:szCs w:val="22"/>
              </w:rPr>
            </w:pPr>
            <w:r>
              <w:rPr>
                <w:sz w:val="22"/>
                <w:szCs w:val="22"/>
              </w:rPr>
              <w:t>9</w:t>
            </w:r>
            <w:r w:rsidRPr="004826D1">
              <w:rPr>
                <w:sz w:val="22"/>
                <w:szCs w:val="22"/>
              </w:rPr>
              <w:t>.</w:t>
            </w:r>
          </w:p>
        </w:tc>
        <w:tc>
          <w:tcPr>
            <w:tcW w:w="2798" w:type="dxa"/>
          </w:tcPr>
          <w:p w14:paraId="14AA4102" w14:textId="77777777" w:rsidR="000D0A4B" w:rsidRPr="004826D1" w:rsidRDefault="000D0A4B" w:rsidP="00B71063">
            <w:pPr>
              <w:rPr>
                <w:sz w:val="22"/>
                <w:szCs w:val="22"/>
              </w:rPr>
            </w:pPr>
            <w:r w:rsidRPr="004826D1">
              <w:rPr>
                <w:sz w:val="22"/>
                <w:szCs w:val="22"/>
              </w:rPr>
              <w:t>Klimata pārmaiņas</w:t>
            </w:r>
          </w:p>
        </w:tc>
        <w:tc>
          <w:tcPr>
            <w:tcW w:w="5918" w:type="dxa"/>
          </w:tcPr>
          <w:p w14:paraId="628CB82D" w14:textId="77777777" w:rsidR="000D0A4B" w:rsidRPr="004826D1" w:rsidRDefault="000D0A4B" w:rsidP="00B71063">
            <w:pPr>
              <w:jc w:val="center"/>
              <w:rPr>
                <w:b/>
                <w:i/>
                <w:lang w:eastAsia="lv-LV"/>
              </w:rPr>
            </w:pPr>
            <w:r w:rsidRPr="004826D1">
              <w:rPr>
                <w:b/>
                <w:i/>
                <w:lang w:eastAsia="lv-LV"/>
              </w:rPr>
              <w:t>+3</w:t>
            </w:r>
          </w:p>
          <w:p w14:paraId="4B827701"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 (globālā mērogā, kas ir vienīgais šīs ietekmes vērtēšanas veids)</w:t>
            </w:r>
          </w:p>
        </w:tc>
      </w:tr>
      <w:tr w:rsidR="000D0A4B" w:rsidRPr="004826D1" w14:paraId="50074AFD" w14:textId="77777777" w:rsidTr="00B71063">
        <w:trPr>
          <w:cantSplit/>
          <w:trHeight w:val="523"/>
          <w:jc w:val="center"/>
        </w:trPr>
        <w:tc>
          <w:tcPr>
            <w:tcW w:w="571" w:type="dxa"/>
          </w:tcPr>
          <w:p w14:paraId="42E9B69D" w14:textId="77777777" w:rsidR="000D0A4B" w:rsidRPr="004826D1" w:rsidRDefault="000D0A4B" w:rsidP="00B71063">
            <w:pPr>
              <w:rPr>
                <w:sz w:val="22"/>
                <w:szCs w:val="22"/>
              </w:rPr>
            </w:pPr>
            <w:r w:rsidRPr="004826D1">
              <w:rPr>
                <w:sz w:val="22"/>
                <w:szCs w:val="22"/>
              </w:rPr>
              <w:t>1</w:t>
            </w:r>
            <w:r>
              <w:rPr>
                <w:sz w:val="22"/>
                <w:szCs w:val="22"/>
              </w:rPr>
              <w:t>0</w:t>
            </w:r>
            <w:r w:rsidRPr="004826D1">
              <w:rPr>
                <w:sz w:val="22"/>
                <w:szCs w:val="22"/>
              </w:rPr>
              <w:t>.</w:t>
            </w:r>
          </w:p>
        </w:tc>
        <w:tc>
          <w:tcPr>
            <w:tcW w:w="2798" w:type="dxa"/>
          </w:tcPr>
          <w:p w14:paraId="1B0F6EFE" w14:textId="77777777" w:rsidR="000D0A4B" w:rsidRPr="004826D1" w:rsidRDefault="000D0A4B" w:rsidP="00B71063">
            <w:pPr>
              <w:rPr>
                <w:sz w:val="22"/>
                <w:szCs w:val="22"/>
              </w:rPr>
            </w:pPr>
            <w:r w:rsidRPr="004826D1">
              <w:rPr>
                <w:sz w:val="22"/>
                <w:szCs w:val="22"/>
              </w:rPr>
              <w:t>Pārrobežu ietekmes</w:t>
            </w:r>
          </w:p>
        </w:tc>
        <w:tc>
          <w:tcPr>
            <w:tcW w:w="5918" w:type="dxa"/>
          </w:tcPr>
          <w:p w14:paraId="3A21C477" w14:textId="77777777" w:rsidR="000D0A4B" w:rsidRPr="004826D1" w:rsidRDefault="000D0A4B" w:rsidP="00B71063">
            <w:pPr>
              <w:jc w:val="center"/>
              <w:rPr>
                <w:b/>
                <w:i/>
                <w:lang w:eastAsia="lv-LV"/>
              </w:rPr>
            </w:pPr>
            <w:r w:rsidRPr="004826D1">
              <w:rPr>
                <w:b/>
                <w:i/>
                <w:lang w:eastAsia="lv-LV"/>
              </w:rPr>
              <w:t>+1</w:t>
            </w:r>
          </w:p>
          <w:p w14:paraId="3C7AD9EE"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w:t>
            </w:r>
          </w:p>
        </w:tc>
      </w:tr>
      <w:tr w:rsidR="000D0A4B" w:rsidRPr="004826D1" w14:paraId="14CB2209" w14:textId="77777777" w:rsidTr="00B71063">
        <w:trPr>
          <w:cantSplit/>
          <w:trHeight w:val="523"/>
          <w:jc w:val="center"/>
        </w:trPr>
        <w:tc>
          <w:tcPr>
            <w:tcW w:w="571" w:type="dxa"/>
          </w:tcPr>
          <w:p w14:paraId="42D4A959" w14:textId="77777777" w:rsidR="000D0A4B" w:rsidRPr="004826D1" w:rsidRDefault="000D0A4B" w:rsidP="00B71063">
            <w:pPr>
              <w:rPr>
                <w:sz w:val="22"/>
                <w:szCs w:val="22"/>
              </w:rPr>
            </w:pPr>
          </w:p>
        </w:tc>
        <w:tc>
          <w:tcPr>
            <w:tcW w:w="2798" w:type="dxa"/>
          </w:tcPr>
          <w:p w14:paraId="73718236" w14:textId="77777777" w:rsidR="000D0A4B" w:rsidRPr="004826D1" w:rsidRDefault="000D0A4B" w:rsidP="00B71063">
            <w:pPr>
              <w:rPr>
                <w:sz w:val="22"/>
                <w:szCs w:val="22"/>
              </w:rPr>
            </w:pPr>
            <w:r w:rsidRPr="004826D1">
              <w:rPr>
                <w:sz w:val="22"/>
                <w:szCs w:val="22"/>
              </w:rPr>
              <w:t>Kopvērtējums</w:t>
            </w:r>
          </w:p>
        </w:tc>
        <w:tc>
          <w:tcPr>
            <w:tcW w:w="5918" w:type="dxa"/>
          </w:tcPr>
          <w:p w14:paraId="649D4B60" w14:textId="77777777" w:rsidR="000D0A4B" w:rsidRPr="004826D1" w:rsidRDefault="000D0A4B" w:rsidP="00B71063">
            <w:pPr>
              <w:jc w:val="center"/>
              <w:rPr>
                <w:b/>
                <w:i/>
                <w:lang w:eastAsia="lv-LV"/>
              </w:rPr>
            </w:pPr>
            <w:r w:rsidRPr="004826D1">
              <w:rPr>
                <w:b/>
                <w:i/>
                <w:lang w:eastAsia="lv-LV"/>
              </w:rPr>
              <w:t>+3</w:t>
            </w:r>
          </w:p>
          <w:p w14:paraId="01618229"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w:t>
            </w:r>
          </w:p>
        </w:tc>
      </w:tr>
    </w:tbl>
    <w:p w14:paraId="2D339B1D" w14:textId="77777777" w:rsidR="000D0A4B" w:rsidRDefault="000D0A4B" w:rsidP="00AB144F">
      <w:pPr>
        <w:spacing w:before="120" w:after="120"/>
        <w:jc w:val="both"/>
        <w:rPr>
          <w:lang w:eastAsia="en-GB"/>
        </w:rPr>
      </w:pPr>
    </w:p>
    <w:p w14:paraId="3CC9AF07" w14:textId="77777777" w:rsidR="00A410CD" w:rsidRPr="004826D1" w:rsidRDefault="00A410CD" w:rsidP="00AB144F">
      <w:pPr>
        <w:spacing w:before="120" w:after="120"/>
        <w:jc w:val="both"/>
        <w:rPr>
          <w:lang w:eastAsia="en-GB"/>
        </w:rPr>
      </w:pPr>
    </w:p>
    <w:p w14:paraId="2FD285F2" w14:textId="77777777" w:rsidR="00BB2EC8" w:rsidRDefault="00BB2EC8" w:rsidP="00086E07">
      <w:pPr>
        <w:spacing w:after="120"/>
        <w:rPr>
          <w:b/>
          <w:szCs w:val="24"/>
          <w:lang w:eastAsia="lv-LV"/>
        </w:rPr>
      </w:pPr>
    </w:p>
    <w:p w14:paraId="3A6969A9" w14:textId="77777777" w:rsidR="00BB2EC8" w:rsidRPr="00C241F3" w:rsidRDefault="0012774A" w:rsidP="00BB2EC8">
      <w:pPr>
        <w:pStyle w:val="Heading2"/>
        <w:spacing w:after="120"/>
        <w:rPr>
          <w:rFonts w:ascii="Times New Roman" w:hAnsi="Times New Roman"/>
          <w:szCs w:val="24"/>
          <w:lang w:val="lv-LV"/>
        </w:rPr>
      </w:pPr>
      <w:bookmarkStart w:id="262" w:name="_Toc118634262"/>
      <w:bookmarkStart w:id="263" w:name="_Toc169602312"/>
      <w:r>
        <w:rPr>
          <w:rFonts w:ascii="Times New Roman" w:hAnsi="Times New Roman"/>
          <w:lang w:val="lv-LV"/>
        </w:rPr>
        <w:t>6</w:t>
      </w:r>
      <w:r w:rsidR="00BB2EC8" w:rsidRPr="00C241F3">
        <w:rPr>
          <w:rFonts w:ascii="Times New Roman" w:hAnsi="Times New Roman"/>
          <w:lang w:val="lv-LV"/>
        </w:rPr>
        <w:t>.</w:t>
      </w:r>
      <w:r w:rsidR="000D0A4B">
        <w:rPr>
          <w:rFonts w:ascii="Times New Roman" w:hAnsi="Times New Roman"/>
          <w:lang w:val="lv-LV"/>
        </w:rPr>
        <w:t>1</w:t>
      </w:r>
      <w:r w:rsidR="00BB2EC8" w:rsidRPr="00C241F3">
        <w:rPr>
          <w:rFonts w:ascii="Times New Roman" w:hAnsi="Times New Roman"/>
          <w:lang w:val="lv-LV"/>
        </w:rPr>
        <w:t xml:space="preserve">2. </w:t>
      </w:r>
      <w:r w:rsidR="00BB2EC8">
        <w:rPr>
          <w:rFonts w:ascii="Times New Roman" w:hAnsi="Times New Roman"/>
          <w:lang w:val="lv-LV"/>
        </w:rPr>
        <w:t xml:space="preserve">Plāna </w:t>
      </w:r>
      <w:r w:rsidR="00BB2EC8" w:rsidRPr="00C241F3">
        <w:rPr>
          <w:rFonts w:ascii="Times New Roman" w:hAnsi="Times New Roman"/>
          <w:lang w:val="lv-LV"/>
        </w:rPr>
        <w:t xml:space="preserve">novērtējums </w:t>
      </w:r>
      <w:r w:rsidR="003724EB">
        <w:rPr>
          <w:rFonts w:ascii="Times New Roman" w:hAnsi="Times New Roman"/>
          <w:lang w:val="lv-LV"/>
        </w:rPr>
        <w:t>rīcībpolitiku</w:t>
      </w:r>
      <w:r w:rsidR="00BB2EC8" w:rsidRPr="00C241F3">
        <w:rPr>
          <w:rFonts w:ascii="Times New Roman" w:hAnsi="Times New Roman"/>
          <w:lang w:val="lv-LV"/>
        </w:rPr>
        <w:t xml:space="preserve"> līmenī</w:t>
      </w:r>
      <w:bookmarkEnd w:id="262"/>
      <w:bookmarkEnd w:id="263"/>
    </w:p>
    <w:p w14:paraId="79073C93" w14:textId="77777777" w:rsidR="00BB2EC8" w:rsidRPr="00C241F3" w:rsidRDefault="00BB2EC8" w:rsidP="00BB2EC8">
      <w:pPr>
        <w:pStyle w:val="Heading31"/>
        <w:tabs>
          <w:tab w:val="num" w:pos="720"/>
        </w:tabs>
        <w:rPr>
          <w:rFonts w:ascii="Times New Roman" w:hAnsi="Times New Roman"/>
          <w:lang w:val="lv-LV"/>
        </w:rPr>
      </w:pPr>
    </w:p>
    <w:p w14:paraId="25ABDED9" w14:textId="4307EB64" w:rsidR="00BB2EC8" w:rsidRDefault="00BB2EC8" w:rsidP="00BB2EC8">
      <w:pPr>
        <w:pStyle w:val="StyleStyleJustifiedBefore6ptAfter6ptTimesNewRoman"/>
        <w:rPr>
          <w:lang w:val="lv-LV" w:eastAsia="en-US"/>
        </w:rPr>
      </w:pPr>
      <w:r w:rsidRPr="00BB2EC8">
        <w:rPr>
          <w:lang w:val="lv-LV" w:eastAsia="en-US"/>
        </w:rPr>
        <w:t>Plāns ir</w:t>
      </w:r>
      <w:r w:rsidR="00857535">
        <w:rPr>
          <w:lang w:val="lv-LV" w:eastAsia="en-US"/>
        </w:rPr>
        <w:t xml:space="preserve"> </w:t>
      </w:r>
      <w:r w:rsidRPr="00BB2EC8">
        <w:rPr>
          <w:lang w:val="lv-LV" w:eastAsia="en-US"/>
        </w:rPr>
        <w:t>ilgtermiņa enerģētikas un klimata politikas plānošanas dokuments, kas nosaka Latvijas valsts enerģētikas un klimata politikas pamatprincipus, mērķus un rīcības virzienus laika periodam līdz 2030. gadam.</w:t>
      </w:r>
      <w:r>
        <w:rPr>
          <w:lang w:val="lv-LV" w:eastAsia="en-US"/>
        </w:rPr>
        <w:t xml:space="preserve"> Tajā noteiktas rīcībpolitik</w:t>
      </w:r>
      <w:r w:rsidR="00B12CB1">
        <w:rPr>
          <w:lang w:val="lv-LV" w:eastAsia="en-US"/>
        </w:rPr>
        <w:t>as, kas apkopotas 1. pielikumā, kurā norādīts arī šo rīcībpolitiku ietekmes uz vidi novērtējums.</w:t>
      </w:r>
    </w:p>
    <w:p w14:paraId="4D90DFA8" w14:textId="77777777" w:rsidR="00F72749" w:rsidRDefault="00F72749" w:rsidP="00BB2EC8">
      <w:pPr>
        <w:pStyle w:val="StyleStyleJustifiedBefore6ptAfter6ptTimesNewRoman"/>
      </w:pPr>
      <w:r>
        <w:rPr>
          <w:lang w:val="lv-LV" w:eastAsia="en-US"/>
        </w:rPr>
        <w:t>Lielākajai d</w:t>
      </w:r>
      <w:r w:rsidRPr="00C241F3">
        <w:rPr>
          <w:lang w:val="lv-LV" w:eastAsia="en-US"/>
        </w:rPr>
        <w:t xml:space="preserve">aļai </w:t>
      </w:r>
      <w:r>
        <w:rPr>
          <w:lang w:val="lv-LV" w:eastAsia="en-US"/>
        </w:rPr>
        <w:t>Plāna rīcībpolitiku ir tieša ietekme uz klimata pārmaiņām, t.i., SEG izmešu samazinājumu, kas ir viens no galvenajiem Plāna tiešajiem mērķiem, nevis pozitīvs blakusefekts, tāpēc šo ietekmi nav korekti salīdzināt jeb mēģināt summēt ar citām ietekmēm uz vidi, kuras pārsvarā ir blakusietekmes.</w:t>
      </w:r>
    </w:p>
    <w:p w14:paraId="49E10C0B" w14:textId="77777777" w:rsidR="005C0CE4" w:rsidRDefault="00F72749" w:rsidP="00BB2EC8">
      <w:pPr>
        <w:pStyle w:val="StyleStyleJustifiedBefore6ptAfter6ptTimesNewRoman"/>
        <w:rPr>
          <w:lang w:val="lv-LV" w:eastAsia="en-US"/>
        </w:rPr>
      </w:pPr>
      <w:r>
        <w:rPr>
          <w:lang w:val="lv-LV" w:eastAsia="en-US"/>
        </w:rPr>
        <w:t>Lielākajai d</w:t>
      </w:r>
      <w:r w:rsidR="00BB2EC8" w:rsidRPr="00C241F3">
        <w:rPr>
          <w:lang w:val="lv-LV" w:eastAsia="en-US"/>
        </w:rPr>
        <w:t xml:space="preserve">aļai </w:t>
      </w:r>
      <w:r w:rsidR="005C0CE4">
        <w:rPr>
          <w:lang w:val="lv-LV" w:eastAsia="en-US"/>
        </w:rPr>
        <w:t xml:space="preserve">Plāna rīcībpolitiku </w:t>
      </w:r>
      <w:r w:rsidR="00BB2EC8" w:rsidRPr="00C241F3">
        <w:rPr>
          <w:lang w:val="lv-LV" w:eastAsia="en-US"/>
        </w:rPr>
        <w:t>ne</w:t>
      </w:r>
      <w:r w:rsidR="005C0CE4">
        <w:rPr>
          <w:lang w:val="lv-LV" w:eastAsia="en-US"/>
        </w:rPr>
        <w:t xml:space="preserve">var </w:t>
      </w:r>
      <w:r w:rsidR="00BB2EC8" w:rsidRPr="00C241F3">
        <w:rPr>
          <w:lang w:val="lv-LV" w:eastAsia="en-US"/>
        </w:rPr>
        <w:t>būt identificējama ietekme uz vidi (ne speciāli plānota, ne neparedzēta)</w:t>
      </w:r>
      <w:r>
        <w:rPr>
          <w:lang w:val="lv-LV" w:eastAsia="en-US"/>
        </w:rPr>
        <w:t xml:space="preserve"> vairumā citu vides aspektu, vismaz ne</w:t>
      </w:r>
      <w:r w:rsidR="005C0CE4">
        <w:rPr>
          <w:lang w:val="lv-LV" w:eastAsia="en-US"/>
        </w:rPr>
        <w:t xml:space="preserve"> pārskata periodā līdz 2030. gadam</w:t>
      </w:r>
      <w:r>
        <w:rPr>
          <w:lang w:val="lv-LV" w:eastAsia="en-US"/>
        </w:rPr>
        <w:t xml:space="preserve"> (daļa šo politiku sagatavo augsni pozitīvām pārmaiņām ilgākā perspektīvā)</w:t>
      </w:r>
      <w:r w:rsidR="005C0CE4">
        <w:rPr>
          <w:lang w:val="lv-LV" w:eastAsia="en-US"/>
        </w:rPr>
        <w:t>.</w:t>
      </w:r>
    </w:p>
    <w:p w14:paraId="5997DDEF" w14:textId="5A0AD3E6" w:rsidR="00BB2EC8" w:rsidRDefault="00F72749" w:rsidP="00BB2EC8">
      <w:pPr>
        <w:autoSpaceDE w:val="0"/>
        <w:autoSpaceDN w:val="0"/>
        <w:adjustRightInd w:val="0"/>
        <w:spacing w:after="120"/>
        <w:jc w:val="both"/>
        <w:rPr>
          <w:rFonts w:cs="Times New Roman"/>
          <w:szCs w:val="24"/>
          <w:lang w:eastAsia="lv-LV"/>
        </w:rPr>
      </w:pPr>
      <w:r>
        <w:rPr>
          <w:rFonts w:cs="Times New Roman"/>
          <w:szCs w:val="24"/>
          <w:lang w:eastAsia="lv-LV"/>
        </w:rPr>
        <w:t xml:space="preserve">Līdz ar to </w:t>
      </w:r>
      <w:r w:rsidR="003B04ED">
        <w:rPr>
          <w:rFonts w:cs="Times New Roman"/>
          <w:szCs w:val="24"/>
          <w:lang w:eastAsia="lv-LV"/>
        </w:rPr>
        <w:t>P</w:t>
      </w:r>
      <w:r>
        <w:rPr>
          <w:rFonts w:cs="Times New Roman"/>
          <w:szCs w:val="24"/>
          <w:lang w:eastAsia="lv-LV"/>
        </w:rPr>
        <w:t>ielikumā parādīts nosacīts pārsvarā pozitīvs (ret</w:t>
      </w:r>
      <w:r w:rsidR="003B04ED">
        <w:rPr>
          <w:rFonts w:cs="Times New Roman"/>
          <w:szCs w:val="24"/>
          <w:lang w:eastAsia="lv-LV"/>
        </w:rPr>
        <w:t xml:space="preserve">āk </w:t>
      </w:r>
      <w:r>
        <w:rPr>
          <w:rFonts w:cs="Times New Roman"/>
          <w:szCs w:val="24"/>
          <w:lang w:eastAsia="lv-LV"/>
        </w:rPr>
        <w:t xml:space="preserve">negatīvs) ietekmju uz vidi vērtējums katrai rīcībpolitikai pa </w:t>
      </w:r>
      <w:r w:rsidR="00680F4D">
        <w:rPr>
          <w:rFonts w:cs="Times New Roman"/>
          <w:szCs w:val="24"/>
          <w:lang w:eastAsia="lv-LV"/>
        </w:rPr>
        <w:t>asto</w:t>
      </w:r>
      <w:r>
        <w:rPr>
          <w:rFonts w:cs="Times New Roman"/>
          <w:szCs w:val="24"/>
          <w:lang w:eastAsia="lv-LV"/>
        </w:rPr>
        <w:t>ņiem vides aspektiem (atbilstoši iepriekšējām nodaļām, kurās tie aplūkoti un kopumāvērtēti)</w:t>
      </w:r>
      <w:r w:rsidR="006A5FDF">
        <w:rPr>
          <w:rFonts w:cs="Times New Roman"/>
          <w:szCs w:val="24"/>
          <w:lang w:eastAsia="lv-LV"/>
        </w:rPr>
        <w:t>, bet šie vērtējumi nav summēti kādos nosacītos summāros vērtējumos pa visiem aspektiem kopā (tas nav iespējams), bet gan sniedz ieskatu, kuros aspektos kurai rīcībpolitikai ir pozitīva (vai negatīva) ietekme, lai pievērstu uzmanību iespējai kādas rīcībpolitikas pozitīvo ietekmi vēl palielināt (vai negatīvo ietekmi samazināt, vai pārskatīt šādas rīcībpolitikas nepieciešamību).</w:t>
      </w:r>
    </w:p>
    <w:p w14:paraId="3229EECB" w14:textId="077BEA42" w:rsidR="0012774A" w:rsidRPr="004826D1" w:rsidRDefault="0012774A" w:rsidP="00BB2EC8">
      <w:pPr>
        <w:autoSpaceDE w:val="0"/>
        <w:autoSpaceDN w:val="0"/>
        <w:adjustRightInd w:val="0"/>
        <w:spacing w:after="120"/>
        <w:jc w:val="both"/>
        <w:rPr>
          <w:rFonts w:cs="Times New Roman"/>
          <w:szCs w:val="24"/>
          <w:lang w:eastAsia="lv-LV"/>
        </w:rPr>
      </w:pPr>
      <w:r>
        <w:rPr>
          <w:rFonts w:cs="Times New Roman"/>
          <w:szCs w:val="24"/>
          <w:lang w:eastAsia="lv-LV"/>
        </w:rPr>
        <w:t>Rīcībpolitiku nosacītais vērtējums klimata pārmaiņu aspektā (SEG emisiju piesaistē</w:t>
      </w:r>
      <w:r w:rsidR="007E10F5">
        <w:rPr>
          <w:rFonts w:cs="Times New Roman"/>
          <w:szCs w:val="24"/>
          <w:lang w:eastAsia="lv-LV"/>
        </w:rPr>
        <w:t>/ietaupījumā</w:t>
      </w:r>
      <w:r>
        <w:rPr>
          <w:rFonts w:cs="Times New Roman"/>
          <w:szCs w:val="24"/>
          <w:lang w:eastAsia="lv-LV"/>
        </w:rPr>
        <w:t>) vērtēts proporcionāli katras rīcībpolitikas prognozētajai SEG emisiju piesaistei</w:t>
      </w:r>
      <w:r w:rsidR="007E10F5">
        <w:rPr>
          <w:rFonts w:cs="Times New Roman"/>
          <w:szCs w:val="24"/>
          <w:lang w:eastAsia="lv-LV"/>
        </w:rPr>
        <w:t>:</w:t>
      </w:r>
      <w:r>
        <w:rPr>
          <w:rFonts w:cs="Times New Roman"/>
          <w:szCs w:val="24"/>
          <w:lang w:eastAsia="lv-LV"/>
        </w:rPr>
        <w:t xml:space="preserve"> procentos no visu rīcībpolitiku kopēj</w:t>
      </w:r>
      <w:r w:rsidR="007E10F5">
        <w:rPr>
          <w:rFonts w:cs="Times New Roman"/>
          <w:szCs w:val="24"/>
          <w:lang w:eastAsia="lv-LV"/>
        </w:rPr>
        <w:t>ā</w:t>
      </w:r>
      <w:r>
        <w:rPr>
          <w:rFonts w:cs="Times New Roman"/>
          <w:szCs w:val="24"/>
          <w:lang w:eastAsia="lv-LV"/>
        </w:rPr>
        <w:t xml:space="preserve"> </w:t>
      </w:r>
      <w:r w:rsidR="007E10F5">
        <w:rPr>
          <w:rFonts w:cs="Times New Roman"/>
          <w:szCs w:val="24"/>
          <w:lang w:eastAsia="lv-LV"/>
        </w:rPr>
        <w:t xml:space="preserve">summārā </w:t>
      </w:r>
      <w:r>
        <w:rPr>
          <w:rFonts w:cs="Times New Roman"/>
          <w:szCs w:val="24"/>
          <w:lang w:eastAsia="lv-LV"/>
        </w:rPr>
        <w:t xml:space="preserve">SEG emisiju </w:t>
      </w:r>
      <w:r w:rsidR="007E10F5">
        <w:rPr>
          <w:rFonts w:cs="Times New Roman"/>
          <w:szCs w:val="24"/>
          <w:lang w:eastAsia="lv-LV"/>
        </w:rPr>
        <w:t>ietaupījuma (</w:t>
      </w:r>
      <w:r w:rsidR="00887037">
        <w:rPr>
          <w:rFonts w:cs="Times New Roman"/>
          <w:szCs w:val="24"/>
          <w:lang w:eastAsia="lv-LV"/>
        </w:rPr>
        <w:t>135</w:t>
      </w:r>
      <w:r w:rsidR="00887037" w:rsidRPr="00887037">
        <w:rPr>
          <w:rFonts w:cs="Times New Roman"/>
          <w:szCs w:val="24"/>
          <w:lang w:eastAsia="lv-LV"/>
        </w:rPr>
        <w:t>91</w:t>
      </w:r>
      <w:r w:rsidR="00887037">
        <w:rPr>
          <w:rFonts w:cs="Times New Roman"/>
          <w:szCs w:val="24"/>
          <w:lang w:eastAsia="lv-LV"/>
        </w:rPr>
        <w:t>,</w:t>
      </w:r>
      <w:r w:rsidR="00887037" w:rsidRPr="00887037">
        <w:rPr>
          <w:rFonts w:cs="Times New Roman"/>
          <w:szCs w:val="24"/>
          <w:lang w:eastAsia="lv-LV"/>
        </w:rPr>
        <w:t>87</w:t>
      </w:r>
      <w:r w:rsidR="00887037">
        <w:rPr>
          <w:rFonts w:cs="Times New Roman"/>
          <w:szCs w:val="24"/>
          <w:lang w:eastAsia="lv-LV"/>
        </w:rPr>
        <w:t> </w:t>
      </w:r>
      <w:r w:rsidR="007E10F5">
        <w:rPr>
          <w:rFonts w:cs="Times New Roman"/>
          <w:szCs w:val="24"/>
          <w:lang w:eastAsia="lv-LV"/>
        </w:rPr>
        <w:t>kt), vienmēr pozitīvs. Ietekmes uz bioloģisko daudzveidību</w:t>
      </w:r>
      <w:r w:rsidR="003808E0">
        <w:rPr>
          <w:rFonts w:cs="Times New Roman"/>
          <w:szCs w:val="24"/>
          <w:lang w:eastAsia="lv-LV"/>
        </w:rPr>
        <w:t>,</w:t>
      </w:r>
      <w:r w:rsidR="007E10F5">
        <w:rPr>
          <w:rFonts w:cs="Times New Roman"/>
          <w:szCs w:val="24"/>
          <w:lang w:eastAsia="lv-LV"/>
        </w:rPr>
        <w:t xml:space="preserve"> meža resursiem </w:t>
      </w:r>
      <w:r w:rsidR="003808E0">
        <w:rPr>
          <w:rFonts w:cs="Times New Roman"/>
          <w:szCs w:val="24"/>
          <w:lang w:eastAsia="lv-LV"/>
        </w:rPr>
        <w:t xml:space="preserve">un augsni </w:t>
      </w:r>
      <w:r w:rsidR="007E10F5" w:rsidRPr="007E10F5">
        <w:rPr>
          <w:rFonts w:cs="Times New Roman"/>
          <w:szCs w:val="24"/>
          <w:lang w:eastAsia="lv-LV"/>
        </w:rPr>
        <w:t>ZIZIMM</w:t>
      </w:r>
      <w:r w:rsidR="007E10F5">
        <w:rPr>
          <w:rFonts w:cs="Times New Roman"/>
          <w:szCs w:val="24"/>
          <w:lang w:eastAsia="lv-LV"/>
        </w:rPr>
        <w:t xml:space="preserve"> sektorā </w:t>
      </w:r>
      <w:r w:rsidR="003B04ED">
        <w:rPr>
          <w:rFonts w:cs="Times New Roman"/>
          <w:szCs w:val="24"/>
          <w:lang w:eastAsia="lv-LV"/>
        </w:rPr>
        <w:t xml:space="preserve">(un arī vēja enerģijas attīstībai Pārveidošanas sektorā) </w:t>
      </w:r>
      <w:r w:rsidR="007E10F5">
        <w:rPr>
          <w:rFonts w:cs="Times New Roman"/>
          <w:szCs w:val="24"/>
          <w:lang w:eastAsia="lv-LV"/>
        </w:rPr>
        <w:t>vērtētas proporcionāli katras rīcībpolitikas prognozētajam rezultatīvajam rādītājam platības hektāros: procentos no visu rīcībpolitiku kopējās summārās platības hektāros (</w:t>
      </w:r>
      <w:r w:rsidR="003B04ED">
        <w:rPr>
          <w:rFonts w:cs="Times New Roman"/>
          <w:szCs w:val="24"/>
          <w:lang w:eastAsia="lv-LV"/>
        </w:rPr>
        <w:t>606</w:t>
      </w:r>
      <w:r w:rsidR="007E10F5" w:rsidRPr="007E10F5">
        <w:rPr>
          <w:rFonts w:cs="Times New Roman"/>
          <w:szCs w:val="24"/>
          <w:lang w:eastAsia="lv-LV"/>
        </w:rPr>
        <w:t>,8</w:t>
      </w:r>
      <w:r w:rsidR="007E10F5">
        <w:rPr>
          <w:rFonts w:cs="Times New Roman"/>
          <w:szCs w:val="24"/>
          <w:lang w:eastAsia="lv-LV"/>
        </w:rPr>
        <w:t> tūkst.ha)</w:t>
      </w:r>
      <w:r w:rsidR="007E10F5" w:rsidRPr="007E10F5">
        <w:rPr>
          <w:rFonts w:cs="Times New Roman"/>
          <w:szCs w:val="24"/>
          <w:lang w:eastAsia="lv-LV"/>
        </w:rPr>
        <w:t xml:space="preserve"> </w:t>
      </w:r>
      <w:r w:rsidR="007E10F5">
        <w:rPr>
          <w:rFonts w:cs="Times New Roman"/>
          <w:szCs w:val="24"/>
          <w:lang w:eastAsia="lv-LV"/>
        </w:rPr>
        <w:t>, gan pozitīvs, gan negatīvs.</w:t>
      </w:r>
    </w:p>
    <w:p w14:paraId="0DBABAD7" w14:textId="77777777" w:rsidR="00EC5ADD" w:rsidRPr="004826D1" w:rsidRDefault="00963C79" w:rsidP="00EC5ADD">
      <w:pPr>
        <w:pStyle w:val="Heading1"/>
        <w:rPr>
          <w:rFonts w:ascii="Times New Roman" w:hAnsi="Times New Roman"/>
          <w:lang w:val="lv-LV"/>
        </w:rPr>
      </w:pPr>
      <w:r w:rsidRPr="004826D1">
        <w:rPr>
          <w:rFonts w:ascii="Times New Roman" w:hAnsi="Times New Roman"/>
          <w:lang w:val="lv-LV"/>
        </w:rPr>
        <w:br w:type="page"/>
      </w:r>
      <w:bookmarkStart w:id="264" w:name="_Toc169602313"/>
      <w:r w:rsidR="0012774A">
        <w:rPr>
          <w:rFonts w:ascii="Times New Roman" w:hAnsi="Times New Roman"/>
          <w:lang w:val="lv-LV"/>
        </w:rPr>
        <w:lastRenderedPageBreak/>
        <w:t>7</w:t>
      </w:r>
      <w:r w:rsidR="00EC5ADD" w:rsidRPr="004826D1">
        <w:rPr>
          <w:rFonts w:ascii="Times New Roman" w:hAnsi="Times New Roman"/>
          <w:lang w:val="lv-LV"/>
        </w:rPr>
        <w:t xml:space="preserve">. </w:t>
      </w:r>
      <w:r w:rsidR="00294A1F" w:rsidRPr="004826D1">
        <w:rPr>
          <w:rFonts w:ascii="Times New Roman" w:hAnsi="Times New Roman"/>
          <w:lang w:val="lv-LV"/>
        </w:rPr>
        <w:t>P</w:t>
      </w:r>
      <w:r w:rsidR="004B6EC8" w:rsidRPr="004826D1">
        <w:rPr>
          <w:rFonts w:ascii="Times New Roman" w:hAnsi="Times New Roman"/>
          <w:lang w:val="lv-LV"/>
        </w:rPr>
        <w:t>lāna</w:t>
      </w:r>
      <w:r w:rsidR="006D1CCB" w:rsidRPr="004826D1">
        <w:rPr>
          <w:rFonts w:ascii="Times New Roman" w:hAnsi="Times New Roman"/>
          <w:lang w:val="lv-LV"/>
        </w:rPr>
        <w:t xml:space="preserve"> monitorings un rezultatīvie rādītāji</w:t>
      </w:r>
      <w:bookmarkEnd w:id="264"/>
    </w:p>
    <w:p w14:paraId="4F9E7C75" w14:textId="77777777" w:rsidR="006D1CCB" w:rsidRPr="004826D1" w:rsidRDefault="006D1CCB" w:rsidP="00EC5ADD">
      <w:pPr>
        <w:autoSpaceDE w:val="0"/>
        <w:autoSpaceDN w:val="0"/>
        <w:adjustRightInd w:val="0"/>
        <w:spacing w:after="120"/>
        <w:jc w:val="both"/>
        <w:rPr>
          <w:rFonts w:cs="Times New Roman"/>
          <w:szCs w:val="24"/>
          <w:lang w:eastAsia="lv-LV" w:bidi="lo-LA"/>
        </w:rPr>
      </w:pPr>
    </w:p>
    <w:p w14:paraId="0E1970BE" w14:textId="77777777" w:rsidR="00EC5ADD" w:rsidRPr="004826D1" w:rsidRDefault="00EC5ADD" w:rsidP="00EC5ADD">
      <w:pPr>
        <w:autoSpaceDE w:val="0"/>
        <w:autoSpaceDN w:val="0"/>
        <w:adjustRightInd w:val="0"/>
        <w:spacing w:after="120"/>
        <w:jc w:val="both"/>
      </w:pPr>
      <w:r w:rsidRPr="004826D1">
        <w:rPr>
          <w:lang w:bidi="lo-LA"/>
        </w:rPr>
        <w:t xml:space="preserve">Vides aizsardzības likums nosaka, ka vides monitorings ir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 Latvijas Vides, ģeoloģijas un meteoroloģijas centra veikto vides kvalitātes novērojumu daudzums var būt nepietiekams, lai precīzi novērtētu antropogēno ietekmi uz vidi. </w:t>
      </w:r>
      <w:r w:rsidRPr="004826D1">
        <w:t>Neatbilstošs var izrādīties vides kvalitātes mērījumu blīvums (telpā un laikā), kā arī izvēlēta monitoringa metode kopumā var nenodrošināt nepieciešamo datu kvalitāti.</w:t>
      </w:r>
    </w:p>
    <w:p w14:paraId="0106F382"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 xml:space="preserve">Vērtējot nepieciešamos pasākumus </w:t>
      </w:r>
      <w:r w:rsidR="00294A1F" w:rsidRPr="004826D1">
        <w:rPr>
          <w:rFonts w:cs="Times New Roman"/>
          <w:szCs w:val="24"/>
          <w:lang w:eastAsia="lv-LV" w:bidi="lo-LA"/>
        </w:rPr>
        <w:t>Plāna</w:t>
      </w:r>
      <w:r w:rsidRPr="004826D1">
        <w:rPr>
          <w:rFonts w:cs="Times New Roman"/>
          <w:szCs w:val="24"/>
          <w:lang w:eastAsia="lv-LV" w:bidi="lo-LA"/>
        </w:rPr>
        <w:t xml:space="preserve"> īstenošanas būtisko ietekmju uz vidi monitoringa nodrošināšanai un korektīvo darbību veikšanai, jāņem vērā arī citu tautsaimniecības nozaru politikas plānošanas dokumenti un to hierarhiskais statuss.</w:t>
      </w:r>
    </w:p>
    <w:p w14:paraId="02B86479"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 xml:space="preserve">Jāņem vērā, ka daba un vide ir ārkārtīgi daudzveidīga, tāpēc nepieciešams noteikt galvenās jomas, kuras </w:t>
      </w:r>
      <w:r w:rsidR="00294A1F" w:rsidRPr="004826D1">
        <w:rPr>
          <w:rFonts w:cs="Times New Roman"/>
          <w:szCs w:val="24"/>
          <w:lang w:eastAsia="lv-LV" w:bidi="lo-LA"/>
        </w:rPr>
        <w:t xml:space="preserve">Plāna </w:t>
      </w:r>
      <w:r w:rsidRPr="004826D1">
        <w:rPr>
          <w:rFonts w:cs="Times New Roman"/>
          <w:szCs w:val="24"/>
          <w:lang w:eastAsia="lv-LV" w:bidi="lo-LA"/>
        </w:rPr>
        <w:t>ietvarā ir būtiskākās un kurām ir nozīmīgākā ietekme uz vidi.</w:t>
      </w:r>
    </w:p>
    <w:p w14:paraId="76F329CE"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 xml:space="preserve">Dabas un vides attīstību laikā nosaka gan dabiskie procesi, gan cilvēka darbība, un </w:t>
      </w:r>
      <w:r w:rsidR="00294A1F" w:rsidRPr="004826D1">
        <w:rPr>
          <w:rFonts w:cs="Times New Roman"/>
          <w:szCs w:val="24"/>
          <w:lang w:eastAsia="lv-LV" w:bidi="lo-LA"/>
        </w:rPr>
        <w:t xml:space="preserve">Plāna </w:t>
      </w:r>
      <w:r w:rsidRPr="004826D1">
        <w:rPr>
          <w:rFonts w:cs="Times New Roman"/>
          <w:szCs w:val="24"/>
          <w:lang w:eastAsia="lv-LV" w:bidi="lo-LA"/>
        </w:rPr>
        <w:t>uzraudzības gaitā galvenais uzdevums būtu noteikt, kādas ir tās īstenošanas ietvaros veikto cilvēka darbību un/vai bezdarbības tiešās ietekmes, kā arī tās dabiskās ietekmes, kuras tiek netieši izmainītas veikto cilvēka darbību rezultātā vai netiek izmainītas bezdarbības rezultātā aspektos, kuros būtu bijusi vēlama to izmainīšana ar darbību.</w:t>
      </w:r>
    </w:p>
    <w:p w14:paraId="6997C3D9"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Vērtējot dabas un vides stāvokli vienotā sistēmā, izmanto trīs vides indikatoru veidus:</w:t>
      </w:r>
    </w:p>
    <w:p w14:paraId="7E413EA9" w14:textId="77777777" w:rsidR="00EC5ADD" w:rsidRPr="004826D1" w:rsidRDefault="00EC5ADD" w:rsidP="00F2034F">
      <w:pPr>
        <w:numPr>
          <w:ilvl w:val="0"/>
          <w:numId w:val="5"/>
        </w:numPr>
        <w:autoSpaceDE w:val="0"/>
        <w:autoSpaceDN w:val="0"/>
        <w:adjustRightInd w:val="0"/>
        <w:spacing w:after="120"/>
        <w:jc w:val="both"/>
        <w:rPr>
          <w:rFonts w:cs="Times New Roman"/>
          <w:szCs w:val="24"/>
          <w:lang w:eastAsia="lv-LV" w:bidi="lo-LA"/>
        </w:rPr>
      </w:pPr>
      <w:r w:rsidRPr="004826D1">
        <w:rPr>
          <w:rFonts w:cs="Times New Roman"/>
          <w:b/>
          <w:bCs/>
          <w:szCs w:val="24"/>
          <w:lang w:eastAsia="lv-LV" w:bidi="lo-LA"/>
        </w:rPr>
        <w:t xml:space="preserve">slodzes indikatori </w:t>
      </w:r>
      <w:r w:rsidRPr="004826D1">
        <w:rPr>
          <w:rFonts w:cs="Times New Roman"/>
          <w:szCs w:val="24"/>
          <w:lang w:eastAsia="lv-LV" w:bidi="lo-LA"/>
        </w:rPr>
        <w:t xml:space="preserve">– atspoguļo virzošo spēku fiziskās izpausmes veidus savstarpējā saiknē starp cilvēku aktivitātēm un dabas vidi. Slodzes indikatori, no vienas puses, raksturo resursu ieguvi saimnieciskām vajadzībām (biomasa, zemes izmantošana), bet no otras puses – piesārņojuma novadīšanu vidē un radīto atkritumu daudzumu, piemēram, izmešus gaisā, </w:t>
      </w:r>
      <w:r w:rsidR="00B24971" w:rsidRPr="004826D1">
        <w:rPr>
          <w:rFonts w:cs="Times New Roman"/>
          <w:szCs w:val="24"/>
          <w:lang w:eastAsia="lv-LV" w:bidi="lo-LA"/>
        </w:rPr>
        <w:t>SEG</w:t>
      </w:r>
      <w:r w:rsidRPr="004826D1">
        <w:rPr>
          <w:rFonts w:cs="Times New Roman"/>
          <w:szCs w:val="24"/>
          <w:lang w:eastAsia="lv-LV" w:bidi="lo-LA"/>
        </w:rPr>
        <w:t>, atkritumu daudzumus, emisijas ūdenī, neatjaunojamo dabas resursu izmantošanu. Tos iedala indikatoros, kuri raksturo tiešu ietekmi uz vidi (parasti izteikta ka izmešu daudzums vai dabas resursu ieguves apjomi un patēriņš) un indikatoros, kas raksturo netiešo ietekmi uz vidi (cilvēku aktivitāšu veids vai tautsaimniecības nozares, kas izraisa netiešu ietekmi uz vidi);</w:t>
      </w:r>
    </w:p>
    <w:p w14:paraId="280DC9A4" w14:textId="77777777" w:rsidR="00EC5ADD" w:rsidRPr="004826D1" w:rsidRDefault="00EC5ADD" w:rsidP="00F2034F">
      <w:pPr>
        <w:numPr>
          <w:ilvl w:val="0"/>
          <w:numId w:val="5"/>
        </w:numPr>
        <w:autoSpaceDE w:val="0"/>
        <w:autoSpaceDN w:val="0"/>
        <w:adjustRightInd w:val="0"/>
        <w:spacing w:after="120"/>
        <w:jc w:val="both"/>
        <w:rPr>
          <w:rFonts w:cs="Times New Roman"/>
          <w:szCs w:val="24"/>
          <w:lang w:eastAsia="lv-LV" w:bidi="lo-LA"/>
        </w:rPr>
      </w:pPr>
      <w:r w:rsidRPr="004826D1">
        <w:rPr>
          <w:rFonts w:cs="Times New Roman"/>
          <w:b/>
          <w:bCs/>
          <w:szCs w:val="24"/>
          <w:lang w:eastAsia="lv-LV" w:bidi="lo-LA"/>
        </w:rPr>
        <w:t xml:space="preserve">stāvokļa indikatori </w:t>
      </w:r>
      <w:r w:rsidRPr="004826D1">
        <w:rPr>
          <w:rFonts w:cs="Times New Roman"/>
          <w:szCs w:val="24"/>
          <w:lang w:eastAsia="lv-LV" w:bidi="lo-LA"/>
        </w:rPr>
        <w:t>– sniedz informāciju par vides kvalitāti noteiktā laikā, piemēram, gaisa piesārņojums, ūdens kvalitāte, augsnes kvalitāte, ekosistēmu stāvoklis u.tml.</w:t>
      </w:r>
    </w:p>
    <w:p w14:paraId="33FD4FF4"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Cilvēku aktivitāšu radītās slodzes ietekmē ekosistēmu līdzsvaru, tāpēc stāvokli raksturo dažādu sistēmu komponenšu fiziskie (piemēram, temperatūra), ķīmiskie (CO</w:t>
      </w:r>
      <w:r w:rsidRPr="004826D1">
        <w:rPr>
          <w:rFonts w:cs="Times New Roman"/>
          <w:sz w:val="16"/>
          <w:szCs w:val="16"/>
          <w:lang w:eastAsia="lv-LV" w:bidi="lo-LA"/>
        </w:rPr>
        <w:t xml:space="preserve">2 </w:t>
      </w:r>
      <w:r w:rsidRPr="004826D1">
        <w:rPr>
          <w:rFonts w:cs="Times New Roman"/>
          <w:szCs w:val="24"/>
          <w:lang w:eastAsia="lv-LV" w:bidi="lo-LA"/>
        </w:rPr>
        <w:t xml:space="preserve">koncentrācija) vai bioloģiskie (piemēram, bioloģiskā daudzveidība </w:t>
      </w:r>
      <w:r w:rsidR="003E59FB" w:rsidRPr="004826D1">
        <w:rPr>
          <w:rFonts w:cs="Times New Roman"/>
          <w:szCs w:val="24"/>
          <w:lang w:eastAsia="lv-LV" w:bidi="lo-LA"/>
        </w:rPr>
        <w:t>Natura 2000 teritorijās</w:t>
      </w:r>
      <w:r w:rsidRPr="004826D1">
        <w:rPr>
          <w:rFonts w:cs="Times New Roman"/>
          <w:szCs w:val="24"/>
          <w:lang w:eastAsia="lv-LV" w:bidi="lo-LA"/>
        </w:rPr>
        <w:t>) nosacījumi. Ekosistēmas spēj akumulēt noteiktu slodzi, taču ekosistēmu nestspējas robežu ir grūti precīzi noteikt;</w:t>
      </w:r>
    </w:p>
    <w:p w14:paraId="17F10009" w14:textId="77777777" w:rsidR="00EC5ADD" w:rsidRPr="004826D1" w:rsidRDefault="00EC5ADD" w:rsidP="00F2034F">
      <w:pPr>
        <w:numPr>
          <w:ilvl w:val="0"/>
          <w:numId w:val="5"/>
        </w:numPr>
        <w:autoSpaceDE w:val="0"/>
        <w:autoSpaceDN w:val="0"/>
        <w:adjustRightInd w:val="0"/>
        <w:spacing w:after="120"/>
        <w:jc w:val="both"/>
        <w:rPr>
          <w:rFonts w:cs="Times New Roman"/>
          <w:szCs w:val="24"/>
          <w:lang w:eastAsia="lv-LV" w:bidi="lo-LA"/>
        </w:rPr>
      </w:pPr>
      <w:r w:rsidRPr="004826D1">
        <w:rPr>
          <w:rFonts w:cs="Times New Roman"/>
          <w:b/>
          <w:bCs/>
          <w:szCs w:val="24"/>
          <w:lang w:eastAsia="lv-LV" w:bidi="lo-LA"/>
        </w:rPr>
        <w:t>r</w:t>
      </w:r>
      <w:r w:rsidRPr="004826D1">
        <w:rPr>
          <w:rFonts w:cs="Times New Roman"/>
          <w:szCs w:val="24"/>
          <w:lang w:eastAsia="lv-LV" w:bidi="lo-LA"/>
        </w:rPr>
        <w:t>īcī</w:t>
      </w:r>
      <w:r w:rsidRPr="004826D1">
        <w:rPr>
          <w:rFonts w:cs="Times New Roman"/>
          <w:b/>
          <w:bCs/>
          <w:szCs w:val="24"/>
          <w:lang w:eastAsia="lv-LV" w:bidi="lo-LA"/>
        </w:rPr>
        <w:t xml:space="preserve">bas indikatori </w:t>
      </w:r>
      <w:r w:rsidRPr="004826D1">
        <w:rPr>
          <w:rFonts w:cs="Times New Roman"/>
          <w:szCs w:val="24"/>
          <w:lang w:eastAsia="lv-LV" w:bidi="lo-LA"/>
        </w:rPr>
        <w:t>– raksturo valdības politiku un sabiedrības īstenoto rīcību, lai novērstu, kompensētu vai piemērotos vides stāvokļa izmaiņām</w:t>
      </w:r>
      <w:r w:rsidR="00787A9E" w:rsidRPr="004826D1">
        <w:rPr>
          <w:rFonts w:cs="Times New Roman"/>
          <w:szCs w:val="24"/>
          <w:lang w:eastAsia="lv-LV" w:bidi="lo-LA"/>
        </w:rPr>
        <w:t>.</w:t>
      </w:r>
    </w:p>
    <w:p w14:paraId="139B1C2F"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Šādu indikatoru izmantošan</w:t>
      </w:r>
      <w:r w:rsidR="0072708E" w:rsidRPr="004826D1">
        <w:rPr>
          <w:rFonts w:cs="Times New Roman"/>
          <w:szCs w:val="24"/>
          <w:lang w:eastAsia="lv-LV" w:bidi="lo-LA"/>
        </w:rPr>
        <w:t xml:space="preserve">a ir pamatojama ar to, ka </w:t>
      </w:r>
      <w:r w:rsidR="00294A1F" w:rsidRPr="004826D1">
        <w:rPr>
          <w:rFonts w:cs="Times New Roman"/>
          <w:szCs w:val="24"/>
          <w:lang w:eastAsia="lv-LV" w:bidi="lo-LA"/>
        </w:rPr>
        <w:t>Plāns</w:t>
      </w:r>
      <w:r w:rsidR="0072708E" w:rsidRPr="004826D1">
        <w:rPr>
          <w:rFonts w:cs="Times New Roman"/>
          <w:szCs w:val="24"/>
          <w:lang w:eastAsia="lv-LV" w:bidi="lo-LA"/>
        </w:rPr>
        <w:t xml:space="preserve"> kā</w:t>
      </w:r>
      <w:r w:rsidRPr="004826D1">
        <w:rPr>
          <w:rFonts w:cs="Times New Roman"/>
          <w:szCs w:val="24"/>
          <w:lang w:eastAsia="lv-LV" w:bidi="lo-LA"/>
        </w:rPr>
        <w:t xml:space="preserve"> </w:t>
      </w:r>
      <w:r w:rsidR="005E3045" w:rsidRPr="004826D1">
        <w:rPr>
          <w:rFonts w:cs="Times New Roman"/>
          <w:szCs w:val="24"/>
          <w:lang w:eastAsia="lv-LV" w:bidi="lo-LA"/>
        </w:rPr>
        <w:t>īs</w:t>
      </w:r>
      <w:r w:rsidRPr="004826D1">
        <w:rPr>
          <w:rFonts w:cs="Times New Roman"/>
          <w:szCs w:val="24"/>
          <w:lang w:eastAsia="lv-LV" w:bidi="lo-LA"/>
        </w:rPr>
        <w:t xml:space="preserve">termiņa plānošanas dokuments aptver īsu laika posmu un detalizēti analizēt virzošos spēkus nav nepieciešams. Savukārt ietekmes izraisa kompleksu pasākumu kopums, bet </w:t>
      </w:r>
      <w:r w:rsidR="00294A1F" w:rsidRPr="004826D1">
        <w:rPr>
          <w:rFonts w:cs="Times New Roman"/>
          <w:szCs w:val="24"/>
          <w:lang w:eastAsia="lv-LV" w:bidi="lo-LA"/>
        </w:rPr>
        <w:t xml:space="preserve">Plāna </w:t>
      </w:r>
      <w:r w:rsidRPr="004826D1">
        <w:rPr>
          <w:rFonts w:cs="Times New Roman"/>
          <w:szCs w:val="24"/>
          <w:lang w:eastAsia="lv-LV" w:bidi="lo-LA"/>
        </w:rPr>
        <w:t>loma jāvērtē attiecībā uz ietekmes izraisīšanu uz ekosistēmām un dabas resursiem, kas gan var radīt grūtības. Tomēr, veicot izvērtēšanu, ir jāņem vērā tendences arī ekonomikā un sabiedrībā, gan starptautiskā, gan nacionālā līmenī. Tādējādi var iegūt sakarības starp slodzēm uz vidi un radītajām ietekmēm.</w:t>
      </w:r>
    </w:p>
    <w:p w14:paraId="4094F26B" w14:textId="77777777" w:rsidR="005E3045" w:rsidRPr="004826D1" w:rsidRDefault="00294A1F" w:rsidP="005E3045">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lastRenderedPageBreak/>
        <w:t>Plāna</w:t>
      </w:r>
      <w:r w:rsidR="005E3045" w:rsidRPr="004826D1">
        <w:rPr>
          <w:rFonts w:cs="Times New Roman"/>
          <w:szCs w:val="24"/>
          <w:lang w:eastAsia="lv-LV" w:bidi="lo-LA"/>
        </w:rPr>
        <w:t xml:space="preserve"> īstenošanas monitoringa iespējamo nepieciešamību nosaka</w:t>
      </w:r>
      <w:r w:rsidR="00017854" w:rsidRPr="004826D1">
        <w:rPr>
          <w:rFonts w:cs="Times New Roman"/>
          <w:szCs w:val="24"/>
          <w:lang w:eastAsia="lv-LV" w:bidi="lo-LA"/>
        </w:rPr>
        <w:t xml:space="preserve"> MK 2004.gada 23.marta noteikumi Nr.157 „Kārtība, kādā veicams ietekmes uz vidi stratēģiskais novērtējums</w:t>
      </w:r>
      <w:r w:rsidR="005E3045" w:rsidRPr="004826D1">
        <w:rPr>
          <w:rFonts w:cs="Times New Roman"/>
          <w:szCs w:val="24"/>
          <w:lang w:eastAsia="lv-LV" w:bidi="lo-LA"/>
        </w:rPr>
        <w:t>”. Monitoringu veic ar mērķi konstatēt dokumenta paredzēto rīcību īstenošanas tiešo vai netiešo ietekmi uz vidi un vajadzības gadījumā noteikt plānošanas dokumenta grozījumu izstrādāšanas nepieciešamību. Noteikumu VIII daļā „Plānošanas dokumenta īstenošanas monitorings” ir teikts:</w:t>
      </w:r>
    </w:p>
    <w:p w14:paraId="2D24C751" w14:textId="77777777" w:rsidR="005E3045" w:rsidRPr="004826D1" w:rsidRDefault="005E3045" w:rsidP="005E3045">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„30. Lai konstatētu plānošanas dokumenta īstenošanas tiešu vai netiešu ietekmi uz vidi, vides pārskatā iepriekš neparedzētu ietekmi uz vidi, kā arī, ja nepieciešams, izdarītu grozījumus plānošanas dokumentā, izstrādātājs, ņemot vērā biroja atzinumu par vides pārskatu, veic plānošanas dokumenta īstenošanas monitoringu.</w:t>
      </w:r>
    </w:p>
    <w:p w14:paraId="76FF3D19" w14:textId="77777777" w:rsidR="005E3045" w:rsidRPr="004826D1" w:rsidRDefault="005E3045" w:rsidP="005E3045">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31. Plānošanas dokumenta īstenošanas monitoringam izmanto valsts statistikas datus, informāciju, kas iegūta, veicot vides monitoringu, kā arī citu informāciju, kas ir pieejama izstrādātājam.</w:t>
      </w:r>
    </w:p>
    <w:p w14:paraId="38D7DDA5" w14:textId="77777777" w:rsidR="005E3045" w:rsidRPr="004826D1" w:rsidRDefault="005E3045" w:rsidP="005E3045">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32. Izstrādātājs sastāda monitoringa ziņojumu un atzinumā par vides pārskatu noteiktajā termiņā iesniedz to birojā. Monitoringa ziņojumā apkopo pieejamo informāciju un ietver vismaz ar plānošanas dokumenta īstenošanu saistīto vides stāvokļa izmaiņu un to tendenču raksturojumu. Birojs saņemtos monitoringa ziņojumus ievieto savā tīmekļvietnē.</w:t>
      </w:r>
    </w:p>
    <w:p w14:paraId="4C5EDCA1" w14:textId="77777777" w:rsidR="005E3045" w:rsidRPr="004826D1" w:rsidRDefault="005E3045" w:rsidP="005E3045">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33. Birojs reizi gadā apkopo iesniegtos monitoringa ziņojumus un iesniedz valsts sabiedrībā ar ierobežotu atbildību “Latvijas Vides, ģeoloģijas un meteoroloģijas centrs”.”</w:t>
      </w:r>
    </w:p>
    <w:p w14:paraId="6E42F696" w14:textId="77777777" w:rsidR="00651651" w:rsidRPr="004826D1" w:rsidRDefault="00651651" w:rsidP="00651651">
      <w:pPr>
        <w:spacing w:before="120" w:after="120"/>
        <w:jc w:val="both"/>
        <w:rPr>
          <w:rFonts w:cs="Times New Roman"/>
          <w:lang w:eastAsia="lv-LV"/>
        </w:rPr>
      </w:pPr>
    </w:p>
    <w:p w14:paraId="19FABA20" w14:textId="77777777" w:rsidR="00651651" w:rsidRPr="004826D1" w:rsidRDefault="00651651" w:rsidP="00651651">
      <w:pPr>
        <w:spacing w:before="120" w:after="120"/>
        <w:jc w:val="both"/>
        <w:rPr>
          <w:rFonts w:cs="Times New Roman"/>
        </w:rPr>
      </w:pPr>
      <w:r w:rsidRPr="004826D1">
        <w:rPr>
          <w:rFonts w:cs="Times New Roman"/>
          <w:lang w:eastAsia="lv-LV"/>
        </w:rPr>
        <w:t xml:space="preserve">Saskaņā ar Regulu 2018/1999 ir nepieciešams reizi divos gados iesniegt EK integrēto nacionālo enerģētikas un klimata progresa ziņojumu, kas aptver visas piecas enerģētikas savienības dimensijas un kurā iekļauj </w:t>
      </w:r>
      <w:r w:rsidRPr="004826D1">
        <w:rPr>
          <w:rFonts w:cs="Times New Roman"/>
        </w:rPr>
        <w:t>šādus elementus:</w:t>
      </w:r>
    </w:p>
    <w:p w14:paraId="42C32B2D"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informācija par progresu virzībā uz Plānā noteikto mērķu un devumu sasniegšanu un to finansēšanai un sasniegšanai vajadzīgo rīcībpolitiku un pasākumu īstenošanu</w:t>
      </w:r>
    </w:p>
    <w:p w14:paraId="545C371C"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 xml:space="preserve">pārskats par faktiskajām investīcijām salīdzinājumā ar sākotnējiem investīciju pieņēmumiem; </w:t>
      </w:r>
    </w:p>
    <w:p w14:paraId="70BB1E3C"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informācija par progresu virzībā uz klimata un enerģētikas daudzlīmeņu dialoga izveidi;</w:t>
      </w:r>
    </w:p>
    <w:p w14:paraId="5583E7AB"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AER un jaunākā informācija par rīcībpolitkām un pasākumiem šajā dimensijā;</w:t>
      </w:r>
    </w:p>
    <w:p w14:paraId="405B7F56"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energoefektivitāti un jaunākā informācija par rīcībpolitkām un pasākumiem šajā dimensijā;</w:t>
      </w:r>
    </w:p>
    <w:p w14:paraId="1130D585"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enerģētisko drošību un jaunākā informācija par rīcībpolitkām un pasākumiem šajā dimensijā;</w:t>
      </w:r>
    </w:p>
    <w:p w14:paraId="197C098A"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iekšējo enerģijas tirgu un jaunākā informācija par rīcībpolitkām un pasākumiem šajā dimensijā;</w:t>
      </w:r>
    </w:p>
    <w:p w14:paraId="4686ABC7"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enerģētisko nabadzību un jaunākā informācija par rīcībpolitkām un pasākumiem šajā dimensijā;</w:t>
      </w:r>
    </w:p>
    <w:p w14:paraId="3778D76C"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pētniecību, inovāciju un konkurētspēju un jaunākā informācija par rīcībpolitkām un pasākumiem šajā dimensijā;</w:t>
      </w:r>
    </w:p>
    <w:p w14:paraId="31ED13D1"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informācija par pielāgošanos klimata pārmaiņām;</w:t>
      </w:r>
    </w:p>
    <w:p w14:paraId="6F1DFAA3"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Plānā iekļauto rīcīpolitiku un pasākumu ietekme uz gaisa kvalitāti un gaisu piesārņojošo vielu emisijām.</w:t>
      </w:r>
    </w:p>
    <w:p w14:paraId="6C252484" w14:textId="77777777" w:rsidR="00651651" w:rsidRPr="004826D1" w:rsidRDefault="00651651" w:rsidP="00651651">
      <w:pPr>
        <w:spacing w:before="120" w:after="120"/>
        <w:jc w:val="both"/>
        <w:rPr>
          <w:rFonts w:cs="Times New Roman"/>
          <w:lang w:eastAsia="lv-LV"/>
        </w:rPr>
      </w:pPr>
      <w:r w:rsidRPr="004826D1">
        <w:rPr>
          <w:rFonts w:cs="Times New Roman"/>
          <w:lang w:eastAsia="lv-LV"/>
        </w:rPr>
        <w:t>Papildus minētajam integrētajam nacionālajam enerģētikas un klimata progresa ziņojumam reizi divos gados ir nepieciešams sagatavot un EK iesniegt:</w:t>
      </w:r>
    </w:p>
    <w:p w14:paraId="67F6CBF8" w14:textId="77777777" w:rsidR="00651651" w:rsidRPr="004826D1" w:rsidRDefault="00651651" w:rsidP="00B71063">
      <w:pPr>
        <w:pStyle w:val="ListParagraph1"/>
        <w:numPr>
          <w:ilvl w:val="0"/>
          <w:numId w:val="17"/>
        </w:numPr>
        <w:spacing w:before="120" w:after="120"/>
        <w:contextualSpacing w:val="0"/>
        <w:jc w:val="both"/>
        <w:rPr>
          <w:rFonts w:cs="Times New Roman"/>
          <w:lang w:eastAsia="lv-LV"/>
        </w:rPr>
      </w:pPr>
      <w:r w:rsidRPr="004826D1">
        <w:rPr>
          <w:rFonts w:cs="Times New Roman"/>
          <w:lang w:eastAsia="lv-LV"/>
        </w:rPr>
        <w:lastRenderedPageBreak/>
        <w:t>Integrēto ziņojumu par siltumnīcefekta gāzu rīcībpolitikām un pasākumiem un par prognozēm;</w:t>
      </w:r>
    </w:p>
    <w:p w14:paraId="01FBD837" w14:textId="77777777" w:rsidR="00651651" w:rsidRPr="004826D1" w:rsidRDefault="00651651" w:rsidP="00B71063">
      <w:pPr>
        <w:pStyle w:val="ListParagraph1"/>
        <w:numPr>
          <w:ilvl w:val="0"/>
          <w:numId w:val="17"/>
        </w:numPr>
        <w:spacing w:before="120" w:after="120"/>
        <w:contextualSpacing w:val="0"/>
        <w:jc w:val="both"/>
        <w:rPr>
          <w:rFonts w:cs="Times New Roman"/>
          <w:lang w:eastAsia="lv-LV"/>
        </w:rPr>
      </w:pPr>
      <w:r w:rsidRPr="004826D1">
        <w:rPr>
          <w:rFonts w:cs="Times New Roman"/>
          <w:lang w:eastAsia="lv-LV"/>
        </w:rPr>
        <w:t>Integrēto ziņojumu par nacionālajiem pielāgošanās pasākumiem, jaunattīstības valstīm sniegto finansiālo un tehnoloģisko atbalstu un izsolēs gūtajiem ieņēmumiem.</w:t>
      </w:r>
    </w:p>
    <w:p w14:paraId="35A277C5" w14:textId="77777777" w:rsidR="00651651" w:rsidRPr="004826D1" w:rsidRDefault="00651651" w:rsidP="00651651">
      <w:pPr>
        <w:spacing w:before="120" w:after="120"/>
        <w:jc w:val="both"/>
        <w:rPr>
          <w:rFonts w:cs="Times New Roman"/>
          <w:lang w:eastAsia="lv-LV"/>
        </w:rPr>
      </w:pPr>
      <w:r w:rsidRPr="004826D1">
        <w:rPr>
          <w:rFonts w:cs="Times New Roman"/>
          <w:lang w:eastAsia="lv-LV"/>
        </w:rPr>
        <w:t>Līdz ar to ir secināms, ka 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rīcībpolitikas un pasākumi.</w:t>
      </w:r>
    </w:p>
    <w:p w14:paraId="34D9867A" w14:textId="77777777" w:rsidR="00651651" w:rsidRPr="004826D1" w:rsidRDefault="00651651" w:rsidP="00651651">
      <w:pPr>
        <w:spacing w:before="120" w:after="120"/>
        <w:jc w:val="both"/>
        <w:rPr>
          <w:rFonts w:cs="Times New Roman"/>
          <w:lang w:eastAsia="lv-LV"/>
        </w:rPr>
      </w:pPr>
      <w:r w:rsidRPr="004826D1">
        <w:rPr>
          <w:rFonts w:cs="Times New Roman"/>
          <w:lang w:eastAsia="lv-LV"/>
        </w:rPr>
        <w:t>Regulā 2018/1999 iekļauto uzraudzības un ziņošanas nosacījumu īstenošanai Latvijā būs nepieciešams veikt būtiskas izmaiņas gan likumdošanas ietvarā, gan institucionālās kapacitātes jautājumos.</w:t>
      </w:r>
    </w:p>
    <w:p w14:paraId="1808D2DC" w14:textId="77777777" w:rsidR="00651651" w:rsidRPr="004826D1" w:rsidRDefault="00651651" w:rsidP="00651651">
      <w:pPr>
        <w:spacing w:before="120" w:after="120"/>
        <w:jc w:val="both"/>
        <w:rPr>
          <w:rFonts w:cs="Times New Roman"/>
          <w:lang w:eastAsia="lv-LV"/>
        </w:rPr>
      </w:pPr>
      <w:r w:rsidRPr="004826D1">
        <w:rPr>
          <w:rFonts w:cs="Times New Roman"/>
          <w:lang w:eastAsia="lv-LV"/>
        </w:rPr>
        <w:t>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p>
    <w:p w14:paraId="258E01EA" w14:textId="52B5A3AA" w:rsidR="00651651" w:rsidRPr="004826D1" w:rsidRDefault="00651651" w:rsidP="00D80DEC">
      <w:pPr>
        <w:spacing w:before="120" w:after="120"/>
        <w:jc w:val="both"/>
        <w:rPr>
          <w:rFonts w:cs="Times New Roman"/>
          <w:lang w:eastAsia="lv-LV"/>
        </w:rPr>
      </w:pPr>
      <w:r w:rsidRPr="004826D1">
        <w:rPr>
          <w:rFonts w:cs="Times New Roman"/>
          <w:lang w:eastAsia="lv-LV"/>
        </w:rPr>
        <w:t xml:space="preserve">Šobrīd likumā “Par piesārņojumu” un </w:t>
      </w:r>
      <w:r w:rsidR="00D80DEC" w:rsidRPr="00D80DEC">
        <w:rPr>
          <w:rFonts w:cs="Times New Roman"/>
          <w:lang w:eastAsia="lv-LV"/>
        </w:rPr>
        <w:t xml:space="preserve">Ministru kabineta </w:t>
      </w:r>
      <w:r w:rsidR="00D80DEC">
        <w:rPr>
          <w:rFonts w:cs="Times New Roman"/>
          <w:lang w:eastAsia="lv-LV"/>
        </w:rPr>
        <w:t xml:space="preserve">25.10.2022. </w:t>
      </w:r>
      <w:r w:rsidR="00D80DEC" w:rsidRPr="00D80DEC">
        <w:rPr>
          <w:rFonts w:cs="Times New Roman"/>
          <w:lang w:eastAsia="lv-LV"/>
        </w:rPr>
        <w:t>noteikum</w:t>
      </w:r>
      <w:r w:rsidR="00D80DEC">
        <w:rPr>
          <w:rFonts w:cs="Times New Roman"/>
          <w:lang w:eastAsia="lv-LV"/>
        </w:rPr>
        <w:t>os</w:t>
      </w:r>
      <w:r w:rsidR="00D80DEC" w:rsidRPr="00D80DEC">
        <w:rPr>
          <w:rFonts w:cs="Times New Roman"/>
          <w:lang w:eastAsia="lv-LV"/>
        </w:rPr>
        <w:t xml:space="preserve"> Nr.675 </w:t>
      </w:r>
      <w:r w:rsidR="00D80DEC">
        <w:rPr>
          <w:rFonts w:cs="Times New Roman"/>
          <w:lang w:eastAsia="lv-LV"/>
        </w:rPr>
        <w:t>“</w:t>
      </w:r>
      <w:r w:rsidR="00D80DEC" w:rsidRPr="00D80DEC">
        <w:rPr>
          <w:rFonts w:cs="Times New Roman"/>
          <w:lang w:eastAsia="lv-LV"/>
        </w:rPr>
        <w:t>Siltumnīcefekta gāzu inventarizācijas sistēmas, prognožu sistēmas un sistēmas ziņošanai par pielāgošanos klimata pārmaiņām izveidošanas un uzturēšanas kārtība</w:t>
      </w:r>
      <w:r w:rsidR="00D80DEC">
        <w:rPr>
          <w:rFonts w:cs="Times New Roman"/>
          <w:lang w:eastAsia="lv-LV"/>
        </w:rPr>
        <w:t xml:space="preserve">” </w:t>
      </w:r>
      <w:r w:rsidRPr="004826D1">
        <w:rPr>
          <w:rFonts w:cs="Times New Roman"/>
          <w:lang w:eastAsia="lv-LV"/>
        </w:rPr>
        <w:t>ir noteikti nosacījumi SEG emisiju un CO</w:t>
      </w:r>
      <w:r w:rsidRPr="004826D1">
        <w:rPr>
          <w:rFonts w:cs="Times New Roman"/>
          <w:vertAlign w:val="subscript"/>
          <w:lang w:eastAsia="lv-LV"/>
        </w:rPr>
        <w:t>2</w:t>
      </w:r>
      <w:r w:rsidRPr="004826D1">
        <w:rPr>
          <w:rFonts w:cs="Times New Roman"/>
          <w:lang w:eastAsia="lv-LV"/>
        </w:rPr>
        <w:t xml:space="preserve"> piesaistes mērķu progresa novērtējumam un divgadu ziņojumiem par progresa izpildi</w:t>
      </w:r>
      <w:r w:rsidR="00D80DEC">
        <w:rPr>
          <w:rFonts w:cs="Times New Roman"/>
          <w:lang w:eastAsia="lv-LV"/>
        </w:rPr>
        <w:t>:</w:t>
      </w:r>
      <w:r w:rsidRPr="004826D1">
        <w:rPr>
          <w:rFonts w:cs="Times New Roman"/>
          <w:lang w:eastAsia="lv-LV"/>
        </w:rPr>
        <w:t xml:space="preserve"> ziņojums par politiku, pasākumiem un prognozēm un ir noteikta siltumnīcefekta gāzu inventarizācijas nacionālā sistēma un siltumnīcefekta gāzu prognožu sagatavošanas nacionālā sistēma.</w:t>
      </w:r>
    </w:p>
    <w:p w14:paraId="53EC2621" w14:textId="77777777" w:rsidR="00651651" w:rsidRPr="004826D1" w:rsidRDefault="00651651" w:rsidP="00651651">
      <w:pPr>
        <w:spacing w:before="120" w:after="120"/>
        <w:jc w:val="both"/>
        <w:rPr>
          <w:rFonts w:cs="Times New Roman"/>
          <w:lang w:eastAsia="lv-LV"/>
        </w:rPr>
      </w:pPr>
      <w:r w:rsidRPr="004826D1">
        <w:rPr>
          <w:rFonts w:cs="Times New Roman"/>
          <w:lang w:eastAsia="lv-LV"/>
        </w:rPr>
        <w:t>Kvalitatīvai integrētās uzraudzības un ziņošanas sistēmas īstenošanai ir nepieciešams noteikt vienu</w:t>
      </w:r>
      <w:r w:rsidRPr="004826D1">
        <w:rPr>
          <w:color w:val="000000"/>
          <w:szCs w:val="24"/>
          <w:lang w:eastAsia="lv-LV"/>
        </w:rPr>
        <w:t xml:space="preserve"> tiešās valsts pārvaldes iestādi – ministrijas, pakļautībā vai padotībā esošu atsevišķu kompetento iestādi, kas veiks integrētajai ziņošanai nepieciešamo monitoringu, informāciju un datu apkopojumu un analīzi.</w:t>
      </w:r>
      <w:r w:rsidRPr="004826D1">
        <w:rPr>
          <w:rFonts w:cs="Times New Roman"/>
          <w:lang w:eastAsia="lv-LV"/>
        </w:rPr>
        <w:t xml:space="preserve"> Ņemot vērā monitoringa un ziņošanas datu pilnīgi sasaisti visās Plāna dimensijās minētajai iestādei būtu jānodrošina arī monitoringa un ziņošanas funkcijas attiecībā uz SEG emisiju un CO</w:t>
      </w:r>
      <w:r w:rsidRPr="004826D1">
        <w:rPr>
          <w:rFonts w:cs="Times New Roman"/>
          <w:vertAlign w:val="subscript"/>
          <w:lang w:eastAsia="lv-LV"/>
        </w:rPr>
        <w:t>2</w:t>
      </w:r>
      <w:r w:rsidRPr="004826D1">
        <w:rPr>
          <w:rFonts w:cs="Times New Roman"/>
          <w:lang w:eastAsia="lv-LV"/>
        </w:rPr>
        <w:t xml:space="preserve"> piesaistes nosacījumiem. Savukārt, ja šī iestāde pati nevarēs nodrošināt nepieciešamo kādu datu monitoringu vai šo datu monitorings jau tiek veikts, tad minētā iestāde būs tā, kas šo datus saņems, apstrādās un iekļaus integrētajā ziņojumā.</w:t>
      </w:r>
    </w:p>
    <w:p w14:paraId="257F9BB4" w14:textId="77777777" w:rsidR="00651651" w:rsidRPr="004826D1" w:rsidRDefault="00651651" w:rsidP="00651651">
      <w:pPr>
        <w:spacing w:before="120" w:after="120"/>
        <w:jc w:val="both"/>
        <w:rPr>
          <w:color w:val="000000"/>
          <w:szCs w:val="24"/>
          <w:lang w:eastAsia="lv-LV"/>
        </w:rPr>
      </w:pPr>
      <w:r w:rsidRPr="004826D1">
        <w:rPr>
          <w:color w:val="000000"/>
          <w:szCs w:val="24"/>
          <w:lang w:eastAsia="lv-LV"/>
        </w:rPr>
        <w:t>Ja šādas iestādes ar attiecīgo kompetenci un ekspertu zināšanām Plāna izstrādes un apstiprināšanas laikā Latvijā nav, tad pēc Plāna apstiprināšanas ir nepieciešams paplašināt jau esošās iestādes pienākumu apjomu un kapacitāti.</w:t>
      </w:r>
    </w:p>
    <w:p w14:paraId="2B850875" w14:textId="77777777" w:rsidR="00651651" w:rsidRPr="004826D1" w:rsidRDefault="00651651" w:rsidP="00651651">
      <w:pPr>
        <w:spacing w:before="120" w:after="120"/>
        <w:jc w:val="both"/>
        <w:rPr>
          <w:szCs w:val="24"/>
          <w:lang w:eastAsia="lv-LV"/>
        </w:rPr>
      </w:pPr>
      <w:r w:rsidRPr="004826D1">
        <w:rPr>
          <w:bCs/>
          <w:color w:val="000000"/>
          <w:szCs w:val="24"/>
          <w:lang w:eastAsia="lv-LV"/>
        </w:rPr>
        <w:t>Integrētās monitoringa un ziņošanas sistēmas izveidei un īstenošanai būs nepieciešami papildus finansiāli līdzekļi, un ir iespējama ES fondu līdzekļu piesaiste šo uzdevumu veikšanai.</w:t>
      </w:r>
      <w:r w:rsidRPr="004826D1">
        <w:rPr>
          <w:szCs w:val="24"/>
          <w:lang w:eastAsia="lv-LV"/>
        </w:rPr>
        <w:t xml:space="preserve"> Lai neradītu būtisku ietekmi uz valsts budžetu un nebūtu jāveido jaunas iestādes, ir iespējams noteikt esošu ministriju pakļautībā vai padotībā esošu iestādi kā galveno kompetento iestādi integrēto monitoringa un ziņošanas sistēmas funkciju veikšanai.</w:t>
      </w:r>
    </w:p>
    <w:p w14:paraId="4E08B1CF" w14:textId="77777777" w:rsidR="007F037A" w:rsidRPr="004826D1" w:rsidRDefault="007F037A" w:rsidP="007F037A">
      <w:pPr>
        <w:spacing w:before="120" w:after="120"/>
        <w:jc w:val="both"/>
        <w:rPr>
          <w:rFonts w:eastAsia="Calibri" w:cs="Times New Roman"/>
        </w:rPr>
      </w:pPr>
      <w:r w:rsidRPr="004826D1">
        <w:rPr>
          <w:rFonts w:cs="Times New Roman"/>
          <w:lang w:eastAsia="lv-LV"/>
        </w:rPr>
        <w:t>Saskaņā ar Regulas 2018/1999 14.pantu</w:t>
      </w:r>
      <w:r w:rsidRPr="004826D1">
        <w:rPr>
          <w:rFonts w:eastAsia="Calibri" w:cs="Times New Roman"/>
        </w:rPr>
        <w:t xml:space="preserve"> Latvijai līdz 2023.gada 30.jūnija ir jāsagatavo un jāiesniedz EK Plāna atjauninājuma projekts vai arī jāsniedz EK argumentēts pamatojums, kāpēc Plāna atjaunināšana nav nepieciešama. Savukārt līdz 2024.gada 30.jūnijam Latvijai ir jāiesniedz EK Plāna atjauninājuma galaversiju, ja Latvija nav sniegusi argumentētu pamatojumu par to, ka nav nepieciešams atjaunināt Plānu vai arī EK ir novērtējusi, ka iepriekš sniegtie argumenti nav pamatoti. Plāna atjaunināšanas.</w:t>
      </w:r>
    </w:p>
    <w:p w14:paraId="3E9A3900" w14:textId="77777777" w:rsidR="007F037A" w:rsidRPr="004826D1" w:rsidRDefault="007F037A" w:rsidP="007F037A">
      <w:pPr>
        <w:spacing w:before="120" w:after="120"/>
        <w:jc w:val="both"/>
        <w:rPr>
          <w:rFonts w:cs="Times New Roman"/>
          <w:szCs w:val="24"/>
        </w:rPr>
      </w:pPr>
      <w:r w:rsidRPr="004826D1">
        <w:rPr>
          <w:rFonts w:eastAsia="Calibri" w:cs="Times New Roman"/>
        </w:rPr>
        <w:t xml:space="preserve">Saskaņā ar </w:t>
      </w:r>
      <w:r w:rsidRPr="004826D1">
        <w:rPr>
          <w:rFonts w:cs="Times New Roman"/>
          <w:lang w:eastAsia="lv-LV"/>
        </w:rPr>
        <w:t xml:space="preserve">Regulu 2018/1999 </w:t>
      </w:r>
      <w:r w:rsidRPr="004826D1">
        <w:rPr>
          <w:rFonts w:eastAsia="Calibri" w:cs="Times New Roman"/>
        </w:rPr>
        <w:t xml:space="preserve">Plānā iekļautos nacionālos mērķrādītājus, mērķus vai piedāvātos devumus Plāna atjauninājumā var mainīt tā, lai tie būtu līdzvērtīgi vai būtu </w:t>
      </w:r>
      <w:r w:rsidRPr="004826D1">
        <w:rPr>
          <w:rFonts w:eastAsia="Calibri" w:cs="Times New Roman"/>
          <w:szCs w:val="24"/>
        </w:rPr>
        <w:lastRenderedPageBreak/>
        <w:t xml:space="preserve">ambiciozāki par tiem, kas izvirzīti Plāna spēkā esošajā Plānā. Plāna atjauninājumā ir jāņem vērā jaunākie EK ieteikumi un ieteikumi, kas Latvijai ir sniegti </w:t>
      </w:r>
      <w:r w:rsidRPr="004826D1">
        <w:rPr>
          <w:rFonts w:cs="Times New Roman"/>
          <w:szCs w:val="24"/>
        </w:rPr>
        <w:t xml:space="preserve">Eiropas pusgada kontekstā, kā arī pienākumus, kas izriet no Parīzes nolīguma. </w:t>
      </w:r>
      <w:r w:rsidRPr="004826D1">
        <w:rPr>
          <w:rFonts w:eastAsia="Calibri" w:cs="Times New Roman"/>
          <w:szCs w:val="24"/>
        </w:rPr>
        <w:t xml:space="preserve">Plāna atjauninājumā ir jācenšas </w:t>
      </w:r>
      <w:r w:rsidRPr="004826D1">
        <w:rPr>
          <w:rFonts w:cs="Times New Roman"/>
          <w:szCs w:val="24"/>
        </w:rPr>
        <w:t>mazināt jebkādu negatīvu ietekmi uz vidi, kas konstatēta integrētajā ziņošanā, kas noteikta Plāna 6. nodaļā.</w:t>
      </w:r>
    </w:p>
    <w:p w14:paraId="3D8996EF" w14:textId="77777777" w:rsidR="007F037A" w:rsidRPr="004826D1" w:rsidRDefault="007F037A" w:rsidP="007F037A">
      <w:pPr>
        <w:spacing w:before="120" w:after="120"/>
        <w:jc w:val="both"/>
        <w:rPr>
          <w:rFonts w:cs="Times New Roman"/>
          <w:bCs/>
          <w:szCs w:val="24"/>
        </w:rPr>
      </w:pPr>
      <w:r w:rsidRPr="004826D1">
        <w:rPr>
          <w:rFonts w:cs="Times New Roman"/>
          <w:szCs w:val="24"/>
        </w:rPr>
        <w:t xml:space="preserve">Tomēr Latvija var pati jebkurā laikā </w:t>
      </w:r>
      <w:r w:rsidRPr="004826D1">
        <w:rPr>
          <w:rFonts w:cs="Times New Roman"/>
          <w:bCs/>
          <w:szCs w:val="24"/>
        </w:rPr>
        <w:t>izdarīt izmaiņas un pielāgojumus nacionālajās rīcībpolitikās, kas izklāstītas Plānā ar nosacījumi, ka šādas izmaiņas un pielāgojumi tiek iekļauti šī Plāna 6.nodaļā minētajā integrētajā ziņojumā.</w:t>
      </w:r>
    </w:p>
    <w:p w14:paraId="627011CF" w14:textId="77777777" w:rsidR="00695AFB" w:rsidRPr="004826D1" w:rsidRDefault="00695AFB" w:rsidP="00695AFB">
      <w:pPr>
        <w:spacing w:before="120" w:after="120"/>
        <w:jc w:val="both"/>
        <w:rPr>
          <w:lang w:eastAsia="lv-LV"/>
        </w:rPr>
      </w:pPr>
      <w:r w:rsidRPr="004826D1">
        <w:rPr>
          <w:lang w:eastAsia="lv-LV"/>
        </w:rPr>
        <w:t>Papildus Plāna izpildes progresa novērtējumam nepieciešams, izmantojot valsts vides monitoringa un citus pieejamos datus, divas reizes plānošanas periodā (2024. gadā un 2028. gadā) izstrādāt vides monitoringa ziņojumu un iesniegt to (arī elektroniskā veidā) Vides pārraudzības valsts birojā.</w:t>
      </w:r>
    </w:p>
    <w:p w14:paraId="00681AE1" w14:textId="77777777" w:rsidR="00695AFB" w:rsidRPr="004826D1" w:rsidRDefault="00695AFB" w:rsidP="007F037A">
      <w:pPr>
        <w:spacing w:before="120" w:after="120"/>
        <w:jc w:val="both"/>
        <w:rPr>
          <w:rFonts w:cs="Times New Roman"/>
        </w:rPr>
      </w:pPr>
    </w:p>
    <w:p w14:paraId="34DBD3B3" w14:textId="77777777" w:rsidR="007F037A" w:rsidRPr="004826D1" w:rsidRDefault="007F037A" w:rsidP="00651651">
      <w:pPr>
        <w:spacing w:before="120" w:after="120"/>
        <w:jc w:val="both"/>
        <w:rPr>
          <w:rFonts w:cs="Times New Roman"/>
        </w:rPr>
      </w:pPr>
    </w:p>
    <w:p w14:paraId="70554913" w14:textId="77777777" w:rsidR="00651651" w:rsidRPr="004826D1" w:rsidRDefault="00651651" w:rsidP="00651651">
      <w:pPr>
        <w:pStyle w:val="ListParagraph1"/>
        <w:spacing w:before="120" w:after="120"/>
        <w:contextualSpacing w:val="0"/>
        <w:jc w:val="both"/>
        <w:rPr>
          <w:rFonts w:cs="Times New Roman"/>
          <w:sz w:val="24"/>
          <w:szCs w:val="24"/>
        </w:rPr>
      </w:pPr>
    </w:p>
    <w:p w14:paraId="12E15E55" w14:textId="77777777" w:rsidR="00347566" w:rsidRPr="004826D1" w:rsidRDefault="00347566" w:rsidP="00EC5ADD">
      <w:pPr>
        <w:pStyle w:val="Default"/>
        <w:spacing w:after="120"/>
        <w:jc w:val="both"/>
        <w:rPr>
          <w:rFonts w:ascii="Times New Roman" w:hAnsi="Times New Roman"/>
          <w:sz w:val="24"/>
          <w:szCs w:val="24"/>
          <w:lang w:eastAsia="en-GB"/>
        </w:rPr>
      </w:pPr>
    </w:p>
    <w:p w14:paraId="6AECA33D" w14:textId="77777777" w:rsidR="00EC5ADD" w:rsidRPr="004826D1" w:rsidRDefault="000D0A4B" w:rsidP="00EC5ADD">
      <w:pPr>
        <w:pStyle w:val="Heading1"/>
        <w:rPr>
          <w:rFonts w:ascii="Times New Roman" w:hAnsi="Times New Roman"/>
          <w:lang w:val="lv-LV"/>
        </w:rPr>
      </w:pPr>
      <w:r>
        <w:rPr>
          <w:rFonts w:ascii="Times New Roman" w:hAnsi="Times New Roman"/>
          <w:lang w:val="lv-LV"/>
        </w:rPr>
        <w:br w:type="page"/>
      </w:r>
      <w:bookmarkStart w:id="265" w:name="_Toc169602314"/>
      <w:r w:rsidR="0012774A">
        <w:rPr>
          <w:rFonts w:ascii="Times New Roman" w:hAnsi="Times New Roman"/>
          <w:lang w:val="lv-LV"/>
        </w:rPr>
        <w:lastRenderedPageBreak/>
        <w:t>8</w:t>
      </w:r>
      <w:r w:rsidR="00EC5ADD" w:rsidRPr="004826D1">
        <w:rPr>
          <w:rFonts w:ascii="Times New Roman" w:hAnsi="Times New Roman"/>
          <w:lang w:val="lv-LV"/>
        </w:rPr>
        <w:t>. Secinājumi un rekomendācijas</w:t>
      </w:r>
      <w:bookmarkEnd w:id="265"/>
    </w:p>
    <w:p w14:paraId="133F5C7D" w14:textId="77777777" w:rsidR="00EC5ADD" w:rsidRPr="004826D1" w:rsidRDefault="00EC5ADD" w:rsidP="00EC5ADD">
      <w:pPr>
        <w:rPr>
          <w:lang w:eastAsia="en-GB"/>
        </w:rPr>
      </w:pPr>
    </w:p>
    <w:p w14:paraId="00CBEEAC" w14:textId="77777777" w:rsidR="00EC5ADD" w:rsidRPr="004826D1" w:rsidRDefault="00EC5ADD" w:rsidP="00EC5ADD">
      <w:pPr>
        <w:spacing w:after="120"/>
        <w:jc w:val="both"/>
        <w:rPr>
          <w:rFonts w:cs="Times New Roman"/>
        </w:rPr>
      </w:pPr>
      <w:r w:rsidRPr="004826D1">
        <w:rPr>
          <w:rFonts w:cs="Times New Roman"/>
        </w:rPr>
        <w:t xml:space="preserve">Stratēģiskais ietekmes uz vidi novērtējums </w:t>
      </w:r>
      <w:r w:rsidR="00294A1F" w:rsidRPr="004826D1">
        <w:rPr>
          <w:rFonts w:cs="Times New Roman"/>
        </w:rPr>
        <w:t>Plānam</w:t>
      </w:r>
      <w:r w:rsidR="0072708E" w:rsidRPr="004826D1">
        <w:rPr>
          <w:rFonts w:cs="Times New Roman"/>
        </w:rPr>
        <w:t xml:space="preserve"> </w:t>
      </w:r>
      <w:r w:rsidRPr="004826D1">
        <w:rPr>
          <w:rFonts w:cs="Times New Roman"/>
        </w:rPr>
        <w:t>parāda, ka:</w:t>
      </w:r>
    </w:p>
    <w:p w14:paraId="2A8FE5FF" w14:textId="77777777" w:rsidR="00EC5ADD" w:rsidRPr="004826D1" w:rsidRDefault="003B4DA5" w:rsidP="00B71063">
      <w:pPr>
        <w:numPr>
          <w:ilvl w:val="0"/>
          <w:numId w:val="25"/>
        </w:numPr>
        <w:spacing w:after="120"/>
        <w:jc w:val="both"/>
        <w:rPr>
          <w:rFonts w:cs="Times New Roman"/>
        </w:rPr>
      </w:pPr>
      <w:r w:rsidRPr="004826D1">
        <w:rPr>
          <w:rFonts w:cs="Times New Roman"/>
        </w:rPr>
        <w:t xml:space="preserve">Plāns </w:t>
      </w:r>
      <w:r w:rsidR="00EC5ADD" w:rsidRPr="004826D1">
        <w:rPr>
          <w:rFonts w:cs="Times New Roman"/>
        </w:rPr>
        <w:t>kopumā atbilst Eiropas Savienības un nacionālajiem vides politikas plānošanas dokumentiem un starptautiskajām konvencijām. Galvenie mērķi un atbalstāmie rīcības virzieni ir vērsti uz kompromisa rašanu starp tādām bieži konfliktējošām nepieciešamībām kā: ekonomiskā izaugsme, cilvēkkapitāla un saimnieciskā attīstīb</w:t>
      </w:r>
      <w:r w:rsidR="006C205D" w:rsidRPr="004826D1">
        <w:rPr>
          <w:rFonts w:cs="Times New Roman"/>
        </w:rPr>
        <w:t>a un dabas un vides aizsardzība.</w:t>
      </w:r>
    </w:p>
    <w:p w14:paraId="6D77333D" w14:textId="77777777" w:rsidR="00EC5ADD" w:rsidRPr="004826D1" w:rsidRDefault="006C205D" w:rsidP="00B71063">
      <w:pPr>
        <w:numPr>
          <w:ilvl w:val="0"/>
          <w:numId w:val="25"/>
        </w:numPr>
        <w:spacing w:after="120"/>
        <w:jc w:val="both"/>
        <w:rPr>
          <w:rFonts w:cs="Times New Roman"/>
        </w:rPr>
      </w:pPr>
      <w:r w:rsidRPr="004826D1">
        <w:rPr>
          <w:rFonts w:cs="Times New Roman"/>
        </w:rPr>
        <w:t>Plānā noteiktie</w:t>
      </w:r>
      <w:r w:rsidR="003B4DA5" w:rsidRPr="004826D1">
        <w:rPr>
          <w:rFonts w:cs="Times New Roman"/>
        </w:rPr>
        <w:t xml:space="preserve"> rīcības </w:t>
      </w:r>
      <w:r w:rsidRPr="004826D1">
        <w:rPr>
          <w:rFonts w:cs="Times New Roman"/>
        </w:rPr>
        <w:t xml:space="preserve">virzieni </w:t>
      </w:r>
      <w:r w:rsidR="003B4DA5" w:rsidRPr="004826D1">
        <w:rPr>
          <w:rFonts w:cs="Times New Roman"/>
        </w:rPr>
        <w:t>un</w:t>
      </w:r>
      <w:r w:rsidR="00EC5ADD" w:rsidRPr="004826D1">
        <w:rPr>
          <w:rFonts w:cs="Times New Roman"/>
        </w:rPr>
        <w:t xml:space="preserve"> pasākumi kopumā nav pretrunā ilgtspējīgas attīstības mērķiem, principiem un nacionāl</w:t>
      </w:r>
      <w:r w:rsidRPr="004826D1">
        <w:rPr>
          <w:rFonts w:cs="Times New Roman"/>
        </w:rPr>
        <w:t>ajai</w:t>
      </w:r>
      <w:r w:rsidR="00EC5ADD" w:rsidRPr="004826D1">
        <w:rPr>
          <w:rFonts w:cs="Times New Roman"/>
        </w:rPr>
        <w:t xml:space="preserve"> vides politik</w:t>
      </w:r>
      <w:r w:rsidRPr="004826D1">
        <w:rPr>
          <w:rFonts w:cs="Times New Roman"/>
        </w:rPr>
        <w:t>ai</w:t>
      </w:r>
      <w:r w:rsidR="00EC5ADD" w:rsidRPr="004826D1">
        <w:rPr>
          <w:rFonts w:cs="Times New Roman"/>
        </w:rPr>
        <w:t>, kā arī veicina Latvijas starptauti</w:t>
      </w:r>
      <w:r w:rsidRPr="004826D1">
        <w:rPr>
          <w:rFonts w:cs="Times New Roman"/>
        </w:rPr>
        <w:t>sko saistību izpildi vides jomā</w:t>
      </w:r>
      <w:r w:rsidR="00DB44A8" w:rsidRPr="004826D1">
        <w:rPr>
          <w:rFonts w:cs="Times New Roman"/>
        </w:rPr>
        <w:t>.</w:t>
      </w:r>
    </w:p>
    <w:p w14:paraId="10F59B12" w14:textId="77777777" w:rsidR="00654484" w:rsidRPr="004826D1" w:rsidRDefault="00654484" w:rsidP="00B71063">
      <w:pPr>
        <w:numPr>
          <w:ilvl w:val="0"/>
          <w:numId w:val="25"/>
        </w:numPr>
        <w:spacing w:after="120"/>
        <w:jc w:val="both"/>
        <w:rPr>
          <w:rFonts w:cs="Times New Roman"/>
        </w:rPr>
      </w:pPr>
      <w:r w:rsidRPr="004826D1">
        <w:rPr>
          <w:rFonts w:cs="Times New Roman"/>
        </w:rPr>
        <w:t xml:space="preserve">Pēc ietekmes uz vidi īstenojami ir visi vērtētie scenāriji, bet konstatējams, ka pēc </w:t>
      </w:r>
      <w:r w:rsidR="00F667E4" w:rsidRPr="004826D1">
        <w:rPr>
          <w:rFonts w:cs="Times New Roman"/>
        </w:rPr>
        <w:t xml:space="preserve">ietekmes uz vidi </w:t>
      </w:r>
      <w:r w:rsidRPr="004826D1">
        <w:rPr>
          <w:rFonts w:cs="Times New Roman"/>
        </w:rPr>
        <w:t xml:space="preserve">optimāls </w:t>
      </w:r>
      <w:r w:rsidR="00F667E4" w:rsidRPr="004826D1">
        <w:rPr>
          <w:rFonts w:cs="Times New Roman"/>
        </w:rPr>
        <w:t>būtu Plāna piedāvātais Mērķa scenārijs</w:t>
      </w:r>
      <w:r w:rsidRPr="004826D1">
        <w:rPr>
          <w:rFonts w:cs="Times New Roman"/>
        </w:rPr>
        <w:t>.</w:t>
      </w:r>
    </w:p>
    <w:p w14:paraId="394AACA0" w14:textId="77777777" w:rsidR="00512132" w:rsidRPr="004826D1" w:rsidRDefault="00512132" w:rsidP="00B71063">
      <w:pPr>
        <w:numPr>
          <w:ilvl w:val="0"/>
          <w:numId w:val="25"/>
        </w:numPr>
        <w:spacing w:after="120"/>
        <w:jc w:val="both"/>
        <w:rPr>
          <w:rFonts w:cs="Times New Roman"/>
        </w:rPr>
      </w:pPr>
      <w:r w:rsidRPr="004826D1">
        <w:rPr>
          <w:rFonts w:cs="Times New Roman"/>
          <w:color w:val="000000"/>
          <w:szCs w:val="24"/>
        </w:rPr>
        <w:t>Katram enerģētikas projektam jāveic visas likumā noteiktās ietekmes uz vidi novērtējuma procedūras.</w:t>
      </w:r>
    </w:p>
    <w:p w14:paraId="00CD3A9D" w14:textId="77777777" w:rsidR="00E65B04" w:rsidRPr="004826D1" w:rsidRDefault="00E65B04" w:rsidP="00B71063">
      <w:pPr>
        <w:numPr>
          <w:ilvl w:val="0"/>
          <w:numId w:val="25"/>
        </w:numPr>
        <w:spacing w:after="120"/>
        <w:jc w:val="both"/>
        <w:rPr>
          <w:rFonts w:cs="Times New Roman"/>
        </w:rPr>
      </w:pPr>
      <w:r w:rsidRPr="004826D1">
        <w:rPr>
          <w:rFonts w:cs="Times New Roman"/>
          <w:color w:val="000000"/>
          <w:szCs w:val="24"/>
        </w:rPr>
        <w:t>Vēja enerģētikas straujas attīstības gadījumā ieteicams veikt VES ietekmju uz putniem un sikspārņiem nacionāla mēroga monitoringu ar mērķi optimizēt turpmāku vēja enerģētikas attīstību ar minimālām nelabvēlīgām ietekmēm uz Latvijas faunu.</w:t>
      </w:r>
    </w:p>
    <w:p w14:paraId="5C4E4D42" w14:textId="77777777" w:rsidR="00F045A3" w:rsidRPr="004826D1" w:rsidRDefault="00F045A3" w:rsidP="00B71063">
      <w:pPr>
        <w:numPr>
          <w:ilvl w:val="0"/>
          <w:numId w:val="25"/>
        </w:numPr>
        <w:spacing w:after="120"/>
        <w:jc w:val="both"/>
        <w:rPr>
          <w:rFonts w:cs="Times New Roman"/>
        </w:rPr>
      </w:pPr>
      <w:r w:rsidRPr="004826D1">
        <w:rPr>
          <w:rFonts w:cs="Times New Roman"/>
        </w:rPr>
        <w:t>Atbilstoši Plāna 4. daļā “Rīcībpolitikas un pasākumi” noteiktajam pirms katra Plānā noteiktā pasākuma īstenošanas ir jāveic risku izvērtējums alternatīvu risinājumu iespējām.</w:t>
      </w:r>
    </w:p>
    <w:p w14:paraId="42F6CDF8" w14:textId="77777777" w:rsidR="00F045A3" w:rsidRPr="004826D1" w:rsidRDefault="00F045A3" w:rsidP="00B71063">
      <w:pPr>
        <w:numPr>
          <w:ilvl w:val="0"/>
          <w:numId w:val="25"/>
        </w:numPr>
        <w:spacing w:after="120"/>
        <w:jc w:val="both"/>
        <w:rPr>
          <w:rFonts w:cs="Times New Roman"/>
        </w:rPr>
      </w:pPr>
      <w:r w:rsidRPr="004826D1">
        <w:rPr>
          <w:rFonts w:cs="Times New Roman"/>
        </w:rPr>
        <w:t>Veicot plāna pārskatīšanu normatīvajos aktos noteiktajos termiņos, veikt detalizētāku analīzi dažādo rīcībpolitiku mijiedarbībai, sinerģijai un kompromisiem, to dažāda veida ietekmēm uz vidi, atbilstoši aktuālajai situācijai.</w:t>
      </w:r>
    </w:p>
    <w:sectPr w:rsidR="00F045A3" w:rsidRPr="004826D1" w:rsidSect="00217A10">
      <w:pgSz w:w="11906" w:h="16838"/>
      <w:pgMar w:top="1134" w:right="1134" w:bottom="119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34B8E" w14:textId="77777777" w:rsidR="00CF5139" w:rsidRDefault="00CF5139">
      <w:r>
        <w:separator/>
      </w:r>
    </w:p>
  </w:endnote>
  <w:endnote w:type="continuationSeparator" w:id="0">
    <w:p w14:paraId="263E0D6C" w14:textId="77777777" w:rsidR="00CF5139" w:rsidRDefault="00CF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DokChampa">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EC Square Sans Pro">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Angsana New"/>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8D9EA" w14:textId="77777777" w:rsidR="00CF5139" w:rsidRDefault="00CF5139">
    <w:pPr>
      <w:pStyle w:val="Footer"/>
      <w:jc w:val="center"/>
    </w:pPr>
    <w:r>
      <w:fldChar w:fldCharType="begin"/>
    </w:r>
    <w:r>
      <w:instrText xml:space="preserve"> PAGE   \* MERGEFORMAT </w:instrText>
    </w:r>
    <w:r>
      <w:fldChar w:fldCharType="separate"/>
    </w:r>
    <w:r w:rsidR="003B04ED">
      <w:rPr>
        <w:noProof/>
      </w:rPr>
      <w:t>96</w:t>
    </w:r>
    <w:r>
      <w:fldChar w:fldCharType="end"/>
    </w:r>
  </w:p>
  <w:p w14:paraId="107CB4D6" w14:textId="77777777" w:rsidR="00CF5139" w:rsidRDefault="00CF5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8FA79" w14:textId="77777777" w:rsidR="00CF5139" w:rsidRDefault="00CF5139">
      <w:r>
        <w:separator/>
      </w:r>
    </w:p>
  </w:footnote>
  <w:footnote w:type="continuationSeparator" w:id="0">
    <w:p w14:paraId="064B2B96" w14:textId="77777777" w:rsidR="00CF5139" w:rsidRDefault="00CF5139">
      <w:r>
        <w:continuationSeparator/>
      </w:r>
    </w:p>
  </w:footnote>
  <w:footnote w:id="1">
    <w:p w14:paraId="05877509" w14:textId="77777777" w:rsidR="00CF5139" w:rsidRPr="00951533" w:rsidRDefault="00CF5139" w:rsidP="00366708">
      <w:pPr>
        <w:pStyle w:val="FootnoteText"/>
      </w:pPr>
      <w:r w:rsidRPr="00951533">
        <w:rPr>
          <w:rStyle w:val="FootnoteReference"/>
        </w:rPr>
        <w:footnoteRef/>
      </w:r>
      <w:r w:rsidRPr="00951533">
        <w:t xml:space="preserve"> </w:t>
      </w:r>
      <w:hyperlink r:id="rId1" w:history="1">
        <w:r w:rsidRPr="002A5CC3">
          <w:rPr>
            <w:rStyle w:val="Hyperlink"/>
          </w:rPr>
          <w:t>https://likumi.lv/ta/id/281943-par-valdibas-ricibas-planu-deklaracijas-par-mara-kucinska-vadita-ministru-kabineta-iecereto-darbibu-istenosanai</w:t>
        </w:r>
      </w:hyperlink>
      <w:r>
        <w:t xml:space="preserve"> </w:t>
      </w:r>
    </w:p>
  </w:footnote>
  <w:footnote w:id="2">
    <w:p w14:paraId="38A192B1" w14:textId="77777777" w:rsidR="00CF5139" w:rsidRPr="00283985" w:rsidRDefault="00CF5139" w:rsidP="00283985">
      <w:pPr>
        <w:pStyle w:val="FootnoteText"/>
        <w:rPr>
          <w:rFonts w:cs="Calibri"/>
        </w:rPr>
      </w:pPr>
      <w:r w:rsidRPr="00283985">
        <w:rPr>
          <w:rStyle w:val="FootnoteReference"/>
          <w:rFonts w:cs="Calibri"/>
        </w:rPr>
        <w:footnoteRef/>
      </w:r>
      <w:r w:rsidRPr="00283985">
        <w:rPr>
          <w:rFonts w:cs="Calibri"/>
        </w:rPr>
        <w:t xml:space="preserve"> </w:t>
      </w:r>
      <w:hyperlink r:id="rId2" w:history="1">
        <w:r w:rsidRPr="00283985">
          <w:rPr>
            <w:rStyle w:val="Hyperlink"/>
            <w:rFonts w:cs="Calibri"/>
          </w:rPr>
          <w:t>https://likumi.lv/ta/id/306691-par-valdibas-ricibas-planu-deklaracijas-par-artura-krisjana-karina-vadita-ministru-kabineta-iecereto-darbibu-istenosanai</w:t>
        </w:r>
      </w:hyperlink>
    </w:p>
  </w:footnote>
  <w:footnote w:id="3">
    <w:p w14:paraId="29856186" w14:textId="77777777" w:rsidR="00CF5139" w:rsidRDefault="00CF5139" w:rsidP="00B77C55">
      <w:pPr>
        <w:pStyle w:val="FootnoteText"/>
      </w:pPr>
      <w:r>
        <w:rPr>
          <w:rStyle w:val="FootnoteReference"/>
        </w:rPr>
        <w:footnoteRef/>
      </w:r>
      <w:r>
        <w:t xml:space="preserve"> </w:t>
      </w:r>
      <w:hyperlink r:id="rId3" w:history="1">
        <w:r w:rsidRPr="00C62838">
          <w:rPr>
            <w:rStyle w:val="Hyperlink"/>
          </w:rPr>
          <w:t>https://likumi.lv/doc.php?id=175748</w:t>
        </w:r>
      </w:hyperlink>
      <w:r>
        <w:t xml:space="preserve"> </w:t>
      </w:r>
    </w:p>
  </w:footnote>
  <w:footnote w:id="4">
    <w:p w14:paraId="7CFB279E" w14:textId="77777777" w:rsidR="00CF5139" w:rsidRPr="00951533" w:rsidRDefault="00CF5139" w:rsidP="00076775">
      <w:pPr>
        <w:pStyle w:val="FootnoteText"/>
      </w:pPr>
      <w:r w:rsidRPr="00951533">
        <w:rPr>
          <w:rStyle w:val="FootnoteReference"/>
        </w:rPr>
        <w:footnoteRef/>
      </w:r>
      <w:r w:rsidRPr="00951533">
        <w:t xml:space="preserve"> </w:t>
      </w:r>
      <w:hyperlink r:id="rId4" w:history="1">
        <w:r w:rsidRPr="002A5CC3">
          <w:rPr>
            <w:rStyle w:val="Hyperlink"/>
          </w:rPr>
          <w:t>http://data.consilium.europa.eu/doc/document/ST-169-2014-INIT/lv/pdf</w:t>
        </w:r>
      </w:hyperlink>
      <w:r>
        <w:t xml:space="preserve"> </w:t>
      </w:r>
    </w:p>
  </w:footnote>
  <w:footnote w:id="5">
    <w:p w14:paraId="4A2BE5B7" w14:textId="77777777" w:rsidR="00CF5139" w:rsidRPr="00951533" w:rsidRDefault="00CF5139" w:rsidP="00076775">
      <w:pPr>
        <w:pStyle w:val="FootnoteText"/>
      </w:pPr>
      <w:r w:rsidRPr="00951533">
        <w:rPr>
          <w:rStyle w:val="FootnoteReference"/>
        </w:rPr>
        <w:footnoteRef/>
      </w:r>
      <w:r w:rsidRPr="00951533">
        <w:t xml:space="preserve"> </w:t>
      </w:r>
      <w:hyperlink r:id="rId5" w:history="1">
        <w:r w:rsidRPr="002A5CC3">
          <w:rPr>
            <w:rStyle w:val="Hyperlink"/>
          </w:rPr>
          <w:t>http://data.consilium.europa.eu/doc/document/ST-14459-2015-INIT/lv/pdf</w:t>
        </w:r>
      </w:hyperlink>
      <w:r>
        <w:t xml:space="preserve"> </w:t>
      </w:r>
    </w:p>
  </w:footnote>
  <w:footnote w:id="6">
    <w:p w14:paraId="11186723" w14:textId="77777777" w:rsidR="00CF5139" w:rsidRDefault="00CF5139" w:rsidP="00076775">
      <w:pPr>
        <w:pStyle w:val="FootnoteText"/>
      </w:pPr>
      <w:r>
        <w:rPr>
          <w:rStyle w:val="FootnoteReference"/>
        </w:rPr>
        <w:footnoteRef/>
      </w:r>
      <w:r>
        <w:t xml:space="preserve"> </w:t>
      </w:r>
      <w:hyperlink r:id="rId6" w:history="1">
        <w:r>
          <w:rPr>
            <w:rStyle w:val="Hyperlink"/>
          </w:rPr>
          <w:t>https://eur-lex.europa.eu/legal-content/LV/TXT/PDF/?uri=CELEX:32018R1999&amp;from=EN</w:t>
        </w:r>
      </w:hyperlink>
    </w:p>
  </w:footnote>
  <w:footnote w:id="7">
    <w:p w14:paraId="70397265" w14:textId="77777777" w:rsidR="00CF5139" w:rsidRPr="00951533" w:rsidRDefault="00CF5139" w:rsidP="00076775">
      <w:pPr>
        <w:pStyle w:val="FootnoteText"/>
      </w:pPr>
      <w:r w:rsidRPr="00951533">
        <w:rPr>
          <w:rStyle w:val="FootnoteReference"/>
        </w:rPr>
        <w:footnoteRef/>
      </w:r>
      <w:r w:rsidRPr="00951533">
        <w:t xml:space="preserve"> </w:t>
      </w:r>
      <w:hyperlink r:id="rId7" w:history="1">
        <w:r w:rsidRPr="00580BA1">
          <w:rPr>
            <w:rStyle w:val="Hyperlink"/>
          </w:rPr>
          <w:t>https://eur-lex.europa.eu/legal-content/LV/TXT/?uri=uriserv:OJ.L_.2018.328.01.0210.01.LAV&amp;toc=OJ:L:2018:328:FULL</w:t>
        </w:r>
      </w:hyperlink>
      <w:r>
        <w:rPr>
          <w:lang w:val="lv-LV"/>
        </w:rPr>
        <w:t xml:space="preserve"> </w:t>
      </w:r>
    </w:p>
  </w:footnote>
  <w:footnote w:id="8">
    <w:p w14:paraId="66E66DDF" w14:textId="77777777" w:rsidR="00CF5139" w:rsidRPr="00951533" w:rsidRDefault="00CF5139" w:rsidP="00076775">
      <w:pPr>
        <w:pStyle w:val="FootnoteText"/>
      </w:pPr>
      <w:r w:rsidRPr="00951533">
        <w:rPr>
          <w:rStyle w:val="FootnoteReference"/>
        </w:rPr>
        <w:footnoteRef/>
      </w:r>
      <w:r w:rsidRPr="00951533">
        <w:t xml:space="preserve"> </w:t>
      </w:r>
      <w:hyperlink r:id="rId8" w:history="1">
        <w:r w:rsidRPr="002A5CC3">
          <w:rPr>
            <w:rStyle w:val="Hyperlink"/>
          </w:rPr>
          <w:t>https://eur-lex.europa.eu/legal-content/LV/TXT/PDF/?uri=CELEX:52011DC0112&amp;from=LV</w:t>
        </w:r>
      </w:hyperlink>
      <w:r>
        <w:t xml:space="preserve"> </w:t>
      </w:r>
    </w:p>
  </w:footnote>
  <w:footnote w:id="9">
    <w:p w14:paraId="3111F47B" w14:textId="77777777" w:rsidR="00CF5139" w:rsidRDefault="00CF5139" w:rsidP="00076775">
      <w:pPr>
        <w:pStyle w:val="FootnoteText"/>
      </w:pPr>
      <w:r>
        <w:rPr>
          <w:rStyle w:val="FootnoteReference"/>
        </w:rPr>
        <w:footnoteRef/>
      </w:r>
      <w:r>
        <w:t xml:space="preserve"> </w:t>
      </w:r>
      <w:hyperlink r:id="rId9" w:history="1">
        <w:r w:rsidRPr="00755C00">
          <w:rPr>
            <w:rStyle w:val="Hyperlink"/>
          </w:rPr>
          <w:t>https://ec.europa.eu/clima/sites/clima/files/docs/pages/com_2018_733_en.pdf</w:t>
        </w:r>
      </w:hyperlink>
      <w:r>
        <w:t xml:space="preserve"> </w:t>
      </w:r>
    </w:p>
  </w:footnote>
  <w:footnote w:id="10">
    <w:p w14:paraId="18DCDED0" w14:textId="77777777" w:rsidR="00CF5139" w:rsidRPr="008953F4" w:rsidRDefault="00CF5139" w:rsidP="00076775">
      <w:pPr>
        <w:pStyle w:val="FootnoteText"/>
      </w:pPr>
      <w:r w:rsidRPr="008953F4">
        <w:rPr>
          <w:rStyle w:val="FootnoteReference"/>
        </w:rPr>
        <w:footnoteRef/>
      </w:r>
      <w:r w:rsidRPr="008953F4">
        <w:t xml:space="preserve"> </w:t>
      </w:r>
      <w:hyperlink r:id="rId10" w:history="1">
        <w:r w:rsidRPr="002A5CC3">
          <w:rPr>
            <w:rStyle w:val="Hyperlink"/>
          </w:rPr>
          <w:t>https://eur-lex.europa.eu/legal-content/LV/TXT/PDF/?uri=CELEX:52011DC0112&amp;from=LV</w:t>
        </w:r>
      </w:hyperlink>
      <w:r>
        <w:t xml:space="preserve"> </w:t>
      </w:r>
    </w:p>
  </w:footnote>
  <w:footnote w:id="11">
    <w:p w14:paraId="6C5C9A04" w14:textId="77777777" w:rsidR="00CF5139" w:rsidRDefault="00CF5139" w:rsidP="00076775">
      <w:pPr>
        <w:pStyle w:val="FootnoteText"/>
      </w:pPr>
      <w:r>
        <w:rPr>
          <w:rStyle w:val="FootnoteReference"/>
        </w:rPr>
        <w:footnoteRef/>
      </w:r>
      <w:r>
        <w:t xml:space="preserve"> </w:t>
      </w:r>
      <w:r w:rsidRPr="0039583D">
        <w:t>https://eur-lex.europa.eu/legal-content/EN/TXT/?qid=1485341914564&amp;uri=CELEX:52016DC0860%2801%29</w:t>
      </w:r>
    </w:p>
  </w:footnote>
  <w:footnote w:id="12">
    <w:p w14:paraId="378D7E18" w14:textId="77777777" w:rsidR="00CF5139" w:rsidRPr="003231C8" w:rsidRDefault="00CF5139" w:rsidP="00D70C05">
      <w:pPr>
        <w:pStyle w:val="FootnoteText"/>
        <w:jc w:val="both"/>
      </w:pPr>
      <w:r w:rsidRPr="003231C8">
        <w:rPr>
          <w:rStyle w:val="FootnoteReference"/>
        </w:rPr>
        <w:footnoteRef/>
      </w:r>
      <w:r w:rsidRPr="003231C8">
        <w:t xml:space="preserve"> Eiropas Parlamenta un Padomes 2020.gada 18.jūnija regula (ES) 2020/852 par regulējuma izveidi ilgtspējīgu ieguldījumu veicināšanai un ar ko groza Regulu (ES) 2019/2088</w:t>
      </w:r>
    </w:p>
  </w:footnote>
  <w:footnote w:id="13">
    <w:p w14:paraId="4A2B3543" w14:textId="77777777" w:rsidR="00CF5139" w:rsidRPr="003231C8" w:rsidRDefault="00CF5139" w:rsidP="00D70C05">
      <w:pPr>
        <w:pStyle w:val="FootnoteText"/>
        <w:jc w:val="both"/>
      </w:pPr>
      <w:r w:rsidRPr="003231C8">
        <w:rPr>
          <w:rStyle w:val="FootnoteReference"/>
        </w:rPr>
        <w:footnoteRef/>
      </w:r>
      <w:r w:rsidRPr="003231C8">
        <w:t xml:space="preserve"> </w:t>
      </w:r>
      <w:hyperlink r:id="rId11" w:history="1">
        <w:r w:rsidRPr="003231C8">
          <w:rPr>
            <w:rStyle w:val="Hyperlink"/>
          </w:rPr>
          <w:t>http://polsis.mk.gov.lv/documents/3323</w:t>
        </w:r>
      </w:hyperlink>
      <w:r w:rsidRPr="003231C8">
        <w:t xml:space="preserve"> </w:t>
      </w:r>
    </w:p>
  </w:footnote>
  <w:footnote w:id="14">
    <w:p w14:paraId="76A71D4F" w14:textId="77777777" w:rsidR="00CF5139" w:rsidRPr="003231C8" w:rsidRDefault="00CF5139" w:rsidP="00D70C05">
      <w:pPr>
        <w:pStyle w:val="FootnoteText"/>
        <w:jc w:val="both"/>
      </w:pPr>
      <w:r w:rsidRPr="003231C8">
        <w:rPr>
          <w:rStyle w:val="FootnoteReference"/>
        </w:rPr>
        <w:footnoteRef/>
      </w:r>
      <w:r w:rsidRPr="003231C8">
        <w:t xml:space="preserve"> </w:t>
      </w:r>
      <w:hyperlink r:id="rId12" w:history="1">
        <w:r w:rsidRPr="003231C8">
          <w:rPr>
            <w:rStyle w:val="Hyperlink"/>
          </w:rPr>
          <w:t>https://www.pkc.gov.lv/lv/nap2027</w:t>
        </w:r>
      </w:hyperlink>
      <w:r w:rsidRPr="003231C8">
        <w:t xml:space="preserve"> </w:t>
      </w:r>
    </w:p>
  </w:footnote>
  <w:footnote w:id="15">
    <w:p w14:paraId="041C54F7" w14:textId="77777777" w:rsidR="00CF5139" w:rsidRPr="003231C8" w:rsidRDefault="00CF5139" w:rsidP="00D70C05">
      <w:pPr>
        <w:pStyle w:val="FootnoteText"/>
        <w:jc w:val="both"/>
      </w:pPr>
      <w:r w:rsidRPr="003231C8">
        <w:rPr>
          <w:rStyle w:val="FootnoteReference"/>
        </w:rPr>
        <w:footnoteRef/>
      </w:r>
      <w:r w:rsidRPr="003231C8">
        <w:t xml:space="preserve"> </w:t>
      </w:r>
      <w:hyperlink r:id="rId13" w:history="1">
        <w:r w:rsidRPr="003231C8">
          <w:rPr>
            <w:rStyle w:val="Hyperlink"/>
          </w:rPr>
          <w:t>http://polsis.mk.gov.lv/documents/6898</w:t>
        </w:r>
      </w:hyperlink>
      <w:r w:rsidRPr="003231C8">
        <w:t xml:space="preserve"> </w:t>
      </w:r>
    </w:p>
  </w:footnote>
  <w:footnote w:id="16">
    <w:p w14:paraId="4DF4458C" w14:textId="77777777" w:rsidR="00CF5139" w:rsidRPr="003231C8" w:rsidRDefault="00CF5139" w:rsidP="00D70C05">
      <w:pPr>
        <w:pStyle w:val="FootnoteText"/>
        <w:jc w:val="both"/>
      </w:pPr>
      <w:r w:rsidRPr="003231C8">
        <w:rPr>
          <w:rStyle w:val="FootnoteReference"/>
        </w:rPr>
        <w:footnoteRef/>
      </w:r>
      <w:r w:rsidRPr="003231C8">
        <w:t xml:space="preserve"> </w:t>
      </w:r>
      <w:hyperlink r:id="rId14" w:history="1">
        <w:r w:rsidRPr="003231C8">
          <w:rPr>
            <w:rStyle w:val="Hyperlink"/>
          </w:rPr>
          <w:t>https://polsis.mk.gov.lv/documents/6507</w:t>
        </w:r>
      </w:hyperlink>
      <w:r w:rsidRPr="003231C8">
        <w:t xml:space="preserve"> </w:t>
      </w:r>
    </w:p>
  </w:footnote>
  <w:footnote w:id="17">
    <w:p w14:paraId="2F1CE015" w14:textId="77777777" w:rsidR="00CF5139" w:rsidRPr="003231C8" w:rsidRDefault="00CF5139" w:rsidP="00D70C05">
      <w:pPr>
        <w:pStyle w:val="FootnoteText"/>
        <w:jc w:val="both"/>
      </w:pPr>
      <w:r w:rsidRPr="003231C8">
        <w:rPr>
          <w:rStyle w:val="FootnoteReference"/>
        </w:rPr>
        <w:footnoteRef/>
      </w:r>
      <w:r w:rsidRPr="003231C8">
        <w:t xml:space="preserve"> </w:t>
      </w:r>
      <w:hyperlink r:id="rId15" w:history="1">
        <w:r w:rsidRPr="003231C8">
          <w:rPr>
            <w:rStyle w:val="Hyperlink"/>
          </w:rPr>
          <w:t>https://likumi.lv/ta/id/342214-latvijas-strategija-klimatneitralitates-sasniegsanai-lidz-2050-gadam</w:t>
        </w:r>
      </w:hyperlink>
      <w:r w:rsidRPr="003231C8">
        <w:t xml:space="preserve"> </w:t>
      </w:r>
    </w:p>
  </w:footnote>
  <w:footnote w:id="18">
    <w:p w14:paraId="01CD3F67" w14:textId="77777777" w:rsidR="00CF5139" w:rsidRPr="003231C8" w:rsidRDefault="00CF5139" w:rsidP="00D70C05">
      <w:pPr>
        <w:pStyle w:val="FootnoteText"/>
        <w:jc w:val="both"/>
      </w:pPr>
      <w:r w:rsidRPr="003231C8">
        <w:rPr>
          <w:rStyle w:val="FootnoteReference"/>
        </w:rPr>
        <w:footnoteRef/>
      </w:r>
      <w:r w:rsidRPr="003231C8">
        <w:t xml:space="preserve"> </w:t>
      </w:r>
      <w:hyperlink r:id="rId16" w:history="1">
        <w:r w:rsidRPr="003231C8">
          <w:rPr>
            <w:rStyle w:val="Hyperlink"/>
          </w:rPr>
          <w:t>http://polsis.mk.gov.lv/documents/7479</w:t>
        </w:r>
      </w:hyperlink>
      <w:r w:rsidRPr="003231C8">
        <w:t xml:space="preserve"> </w:t>
      </w:r>
    </w:p>
  </w:footnote>
  <w:footnote w:id="19">
    <w:p w14:paraId="3A06079E" w14:textId="77777777" w:rsidR="00CF5139" w:rsidRPr="003231C8" w:rsidRDefault="00CF5139" w:rsidP="00D70C05">
      <w:pPr>
        <w:pStyle w:val="FootnoteText"/>
        <w:jc w:val="both"/>
      </w:pPr>
      <w:r w:rsidRPr="003231C8">
        <w:rPr>
          <w:rStyle w:val="FootnoteReference"/>
        </w:rPr>
        <w:footnoteRef/>
      </w:r>
      <w:r w:rsidRPr="003231C8">
        <w:t xml:space="preserve"> </w:t>
      </w:r>
      <w:hyperlink r:id="rId17" w:history="1">
        <w:r w:rsidRPr="003231C8">
          <w:rPr>
            <w:rStyle w:val="Hyperlink"/>
          </w:rPr>
          <w:t>http://polsis.mk.gov.lv/documents/6951</w:t>
        </w:r>
      </w:hyperlink>
      <w:r w:rsidRPr="003231C8">
        <w:t xml:space="preserve"> </w:t>
      </w:r>
    </w:p>
  </w:footnote>
  <w:footnote w:id="20">
    <w:p w14:paraId="145F10E5" w14:textId="77777777" w:rsidR="00CF5139" w:rsidRPr="003231C8" w:rsidRDefault="00CF5139" w:rsidP="00D70C05">
      <w:pPr>
        <w:pStyle w:val="FootnoteText"/>
        <w:jc w:val="both"/>
      </w:pPr>
      <w:r w:rsidRPr="003231C8">
        <w:rPr>
          <w:rStyle w:val="FootnoteReference"/>
        </w:rPr>
        <w:footnoteRef/>
      </w:r>
      <w:r w:rsidRPr="003231C8">
        <w:t xml:space="preserve"> </w:t>
      </w:r>
      <w:hyperlink r:id="rId18" w:history="1">
        <w:r w:rsidRPr="003231C8">
          <w:rPr>
            <w:rStyle w:val="Hyperlink"/>
          </w:rPr>
          <w:t>https://polsis.mk.gov.lv/documents/7239</w:t>
        </w:r>
      </w:hyperlink>
      <w:r w:rsidRPr="003231C8">
        <w:t xml:space="preserve"> </w:t>
      </w:r>
    </w:p>
  </w:footnote>
  <w:footnote w:id="21">
    <w:p w14:paraId="1E17D92A" w14:textId="77777777" w:rsidR="00CF5139" w:rsidRPr="003231C8" w:rsidRDefault="00CF5139" w:rsidP="00D70C05">
      <w:pPr>
        <w:pStyle w:val="FootnoteText"/>
        <w:jc w:val="both"/>
      </w:pPr>
      <w:r w:rsidRPr="003231C8">
        <w:rPr>
          <w:rStyle w:val="FootnoteReference"/>
        </w:rPr>
        <w:footnoteRef/>
      </w:r>
      <w:r w:rsidRPr="003231C8">
        <w:t xml:space="preserve"> </w:t>
      </w:r>
      <w:hyperlink r:id="rId19" w:history="1">
        <w:r w:rsidRPr="003231C8">
          <w:rPr>
            <w:rStyle w:val="Hyperlink"/>
          </w:rPr>
          <w:t>https://polsis.mk.gov.lv/documents/7053</w:t>
        </w:r>
      </w:hyperlink>
      <w:r w:rsidRPr="003231C8">
        <w:t xml:space="preserve"> </w:t>
      </w:r>
    </w:p>
  </w:footnote>
  <w:footnote w:id="22">
    <w:p w14:paraId="13F2EE09" w14:textId="77777777" w:rsidR="00CF5139" w:rsidRPr="003231C8" w:rsidRDefault="00CF5139" w:rsidP="00D70C05">
      <w:pPr>
        <w:pStyle w:val="FootnoteText"/>
        <w:jc w:val="both"/>
      </w:pPr>
      <w:r w:rsidRPr="003231C8">
        <w:rPr>
          <w:rStyle w:val="FootnoteReference"/>
        </w:rPr>
        <w:footnoteRef/>
      </w:r>
      <w:r w:rsidRPr="003231C8">
        <w:t xml:space="preserve"> </w:t>
      </w:r>
      <w:hyperlink r:id="rId20" w:history="1">
        <w:r w:rsidRPr="003231C8">
          <w:rPr>
            <w:rStyle w:val="Hyperlink"/>
          </w:rPr>
          <w:t>https://polsis.mk.gov.lv/documents/6983</w:t>
        </w:r>
      </w:hyperlink>
      <w:r w:rsidRPr="003231C8">
        <w:t xml:space="preserve"> </w:t>
      </w:r>
    </w:p>
  </w:footnote>
  <w:footnote w:id="23">
    <w:p w14:paraId="69A29793" w14:textId="77777777" w:rsidR="00CF5139" w:rsidRPr="003231C8" w:rsidRDefault="00CF5139" w:rsidP="00D70C05">
      <w:pPr>
        <w:pStyle w:val="FootnoteText"/>
        <w:jc w:val="both"/>
      </w:pPr>
      <w:r w:rsidRPr="003231C8">
        <w:rPr>
          <w:rStyle w:val="FootnoteReference"/>
        </w:rPr>
        <w:footnoteRef/>
      </w:r>
      <w:r w:rsidRPr="003231C8">
        <w:t xml:space="preserve"> </w:t>
      </w:r>
      <w:hyperlink r:id="rId21" w:history="1">
        <w:r w:rsidRPr="003231C8">
          <w:rPr>
            <w:rStyle w:val="Hyperlink"/>
          </w:rPr>
          <w:t>https://likumi.lv/ta/id/317168-par-ricibas-planu-parejai-uz-aprites-ekonomiku-20202027-gadam</w:t>
        </w:r>
      </w:hyperlink>
      <w:r w:rsidRPr="003231C8">
        <w:t xml:space="preserve"> </w:t>
      </w:r>
    </w:p>
  </w:footnote>
  <w:footnote w:id="24">
    <w:p w14:paraId="1D9DC71C" w14:textId="77777777" w:rsidR="00CF5139" w:rsidRPr="003231C8" w:rsidRDefault="00CF5139" w:rsidP="00D70C05">
      <w:pPr>
        <w:pStyle w:val="FootnoteText"/>
        <w:jc w:val="both"/>
      </w:pPr>
      <w:r w:rsidRPr="003231C8">
        <w:rPr>
          <w:rStyle w:val="FootnoteReference"/>
        </w:rPr>
        <w:footnoteRef/>
      </w:r>
      <w:r w:rsidRPr="003231C8">
        <w:t xml:space="preserve"> </w:t>
      </w:r>
      <w:hyperlink r:id="rId22" w:history="1">
        <w:r w:rsidRPr="003231C8">
          <w:rPr>
            <w:rStyle w:val="Hyperlink"/>
          </w:rPr>
          <w:t>https://polsis.mk.gov.lv/documents/6588</w:t>
        </w:r>
      </w:hyperlink>
      <w:r w:rsidRPr="003231C8">
        <w:t xml:space="preserve"> </w:t>
      </w:r>
    </w:p>
  </w:footnote>
  <w:footnote w:id="25">
    <w:p w14:paraId="48EC3571" w14:textId="77777777" w:rsidR="00CF5139" w:rsidRPr="003231C8" w:rsidRDefault="00CF5139" w:rsidP="00D70C05">
      <w:pPr>
        <w:pStyle w:val="FootnoteText"/>
        <w:jc w:val="both"/>
      </w:pPr>
      <w:r w:rsidRPr="003231C8">
        <w:rPr>
          <w:rStyle w:val="FootnoteReference"/>
        </w:rPr>
        <w:footnoteRef/>
      </w:r>
      <w:r w:rsidRPr="003231C8">
        <w:t xml:space="preserve"> </w:t>
      </w:r>
      <w:hyperlink r:id="rId23" w:history="1">
        <w:r w:rsidRPr="003231C8">
          <w:rPr>
            <w:rStyle w:val="Hyperlink"/>
          </w:rPr>
          <w:t>https://polsis.mk.gov.lv/documents/7398</w:t>
        </w:r>
      </w:hyperlink>
      <w:r w:rsidRPr="003231C8">
        <w:t xml:space="preserve"> </w:t>
      </w:r>
    </w:p>
  </w:footnote>
  <w:footnote w:id="26">
    <w:p w14:paraId="28CB19B4" w14:textId="77777777" w:rsidR="00CF5139" w:rsidRPr="003231C8" w:rsidRDefault="00CF5139" w:rsidP="00D70C05">
      <w:pPr>
        <w:jc w:val="both"/>
        <w:rPr>
          <w:rFonts w:ascii="Cambria"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hyperlink r:id="rId24" w:history="1">
        <w:r w:rsidRPr="003231C8">
          <w:rPr>
            <w:rStyle w:val="Hyperlink"/>
            <w:rFonts w:ascii="Cambria" w:eastAsia="Calibri" w:hAnsi="Cambria"/>
            <w:sz w:val="18"/>
            <w:szCs w:val="18"/>
          </w:rPr>
          <w:t>https://likumi.lv/ta/id/319013-par-kudras-ilgtspejigas-izmantosanas-pamatnostadnem-20202030-gadam</w:t>
        </w:r>
      </w:hyperlink>
      <w:r w:rsidRPr="003231C8">
        <w:rPr>
          <w:rFonts w:ascii="Cambria" w:hAnsi="Cambria"/>
          <w:sz w:val="18"/>
          <w:szCs w:val="18"/>
        </w:rPr>
        <w:t xml:space="preserve"> </w:t>
      </w:r>
    </w:p>
  </w:footnote>
  <w:footnote w:id="27">
    <w:p w14:paraId="12A5C637" w14:textId="77777777" w:rsidR="00CF5139" w:rsidRPr="003231C8" w:rsidRDefault="00CF5139" w:rsidP="00D70C05">
      <w:pPr>
        <w:jc w:val="both"/>
        <w:rPr>
          <w:rFonts w:ascii="Cambria"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hyperlink r:id="rId25" w:history="1">
        <w:r w:rsidRPr="003231C8">
          <w:rPr>
            <w:rStyle w:val="Hyperlink"/>
            <w:rFonts w:ascii="Cambria" w:eastAsia="Calibri" w:hAnsi="Cambria"/>
            <w:sz w:val="18"/>
            <w:szCs w:val="18"/>
          </w:rPr>
          <w:t>https://likumi.lv/ta/id/334018-par-taisnigas-parkartosanas-teritorialo-planu</w:t>
        </w:r>
      </w:hyperlink>
      <w:r w:rsidRPr="003231C8">
        <w:rPr>
          <w:rFonts w:ascii="Cambria" w:hAnsi="Cambria"/>
          <w:sz w:val="18"/>
          <w:szCs w:val="18"/>
        </w:rPr>
        <w:t xml:space="preserve"> </w:t>
      </w:r>
    </w:p>
  </w:footnote>
  <w:footnote w:id="28">
    <w:p w14:paraId="7CB1EBD1" w14:textId="77777777" w:rsidR="00CF5139" w:rsidRPr="003231C8" w:rsidRDefault="00CF5139" w:rsidP="00D70C05">
      <w:pPr>
        <w:jc w:val="both"/>
        <w:rPr>
          <w:rFonts w:ascii="Cambria" w:eastAsia="Cambria" w:hAnsi="Cambria" w:cs="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3231C8">
        <w:rPr>
          <w:rFonts w:ascii="Cambria" w:eastAsia="Cambria" w:hAnsi="Cambria" w:cs="Cambria"/>
          <w:sz w:val="18"/>
          <w:szCs w:val="18"/>
        </w:rPr>
        <w:t>Apstiprināts ar MK 21.05.2019. maija rīkojumu Nr. 232 ”Par Jūras plānojumu Latvijas Republikas iekšējiem jūras ūdeņiem, teritoriālajai jūrai un ekskluzīvās ekonomiskās zonas ūdeņiem līdz 2030. gadam”</w:t>
      </w:r>
    </w:p>
  </w:footnote>
  <w:footnote w:id="29">
    <w:p w14:paraId="50B0A7D6" w14:textId="77777777" w:rsidR="00CF5139" w:rsidRPr="003231C8" w:rsidRDefault="00CF5139" w:rsidP="00D70C05">
      <w:pPr>
        <w:jc w:val="both"/>
        <w:rPr>
          <w:rFonts w:ascii="Cambria" w:eastAsia="Calibri"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3231C8">
        <w:rPr>
          <w:rFonts w:ascii="Cambria" w:hAnsi="Cambria" w:cs="Times New Roman"/>
          <w:sz w:val="18"/>
          <w:szCs w:val="18"/>
        </w:rPr>
        <w:t>https://data.stat.gov.lv/pxweb/lv/OSP_PUB/START__NOZ__ME__MEP/MEM020/table/tableViewLayout1/</w:t>
      </w:r>
    </w:p>
  </w:footnote>
  <w:footnote w:id="30">
    <w:p w14:paraId="2423A0C6" w14:textId="77777777" w:rsidR="00CF5139" w:rsidRPr="003231C8" w:rsidRDefault="00CF5139" w:rsidP="00D70C05">
      <w:pPr>
        <w:jc w:val="both"/>
        <w:rPr>
          <w:rFonts w:ascii="Cambria"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https://data.stat.gov.lv/pxweb/lv/OSP_PUB/START__NOZ__ME__MEP/MEM030/table/tableViewLayout1/</w:t>
      </w:r>
    </w:p>
  </w:footnote>
  <w:footnote w:id="31">
    <w:p w14:paraId="05DB9237" w14:textId="77777777" w:rsidR="00CF5139" w:rsidRPr="003231C8" w:rsidRDefault="00CF5139" w:rsidP="00D70C05">
      <w:pPr>
        <w:pStyle w:val="FootnoteText"/>
        <w:jc w:val="both"/>
      </w:pPr>
      <w:r w:rsidRPr="003231C8">
        <w:rPr>
          <w:rStyle w:val="FootnoteReference"/>
        </w:rPr>
        <w:footnoteRef/>
      </w:r>
      <w:r w:rsidRPr="003231C8">
        <w:t xml:space="preserve"> </w:t>
      </w:r>
      <w:hyperlink r:id="rId26" w:history="1">
        <w:r w:rsidRPr="003231C8">
          <w:rPr>
            <w:rStyle w:val="Hyperlink"/>
          </w:rPr>
          <w:t>https://energy.ec.europa.eu/system/files/2023-09/Biomethane_fiche_LV_web.pdf</w:t>
        </w:r>
      </w:hyperlink>
      <w:r w:rsidRPr="003231C8">
        <w:t xml:space="preserve"> </w:t>
      </w:r>
    </w:p>
  </w:footnote>
  <w:footnote w:id="32">
    <w:p w14:paraId="538509FE" w14:textId="77777777" w:rsidR="00CF5139" w:rsidRPr="003231C8" w:rsidRDefault="00CF5139" w:rsidP="00D70C05">
      <w:pPr>
        <w:pStyle w:val="FootnoteText"/>
        <w:jc w:val="both"/>
      </w:pPr>
      <w:r w:rsidRPr="003231C8">
        <w:rPr>
          <w:rStyle w:val="FootnoteReference"/>
        </w:rPr>
        <w:footnoteRef/>
      </w:r>
      <w:r w:rsidRPr="003231C8">
        <w:t xml:space="preserve"> </w:t>
      </w:r>
      <w:hyperlink r:id="rId27" w:history="1">
        <w:r w:rsidRPr="006D4414">
          <w:rPr>
            <w:rStyle w:val="Hyperlink"/>
          </w:rPr>
          <w:t>https://videscentrs.lvgmc.lv/lapas/latvijas-klimats</w:t>
        </w:r>
      </w:hyperlink>
    </w:p>
  </w:footnote>
  <w:footnote w:id="33">
    <w:p w14:paraId="31DD3016" w14:textId="77777777" w:rsidR="00CF5139" w:rsidRPr="003231C8" w:rsidRDefault="00CF5139" w:rsidP="00D70C05">
      <w:pPr>
        <w:pStyle w:val="FootnoteText"/>
        <w:jc w:val="both"/>
      </w:pPr>
      <w:r w:rsidRPr="003231C8">
        <w:rPr>
          <w:rStyle w:val="FootnoteReference"/>
        </w:rPr>
        <w:footnoteRef/>
      </w:r>
      <w:r w:rsidRPr="003231C8">
        <w:t xml:space="preserve"> </w:t>
      </w:r>
      <w:hyperlink r:id="rId28" w:history="1">
        <w:r w:rsidRPr="003231C8">
          <w:rPr>
            <w:rStyle w:val="Hyperlink"/>
          </w:rPr>
          <w:t>https://www.vzd.gov.lv/lv/zemes-sadalijums-zemes-lietosanas-veidos</w:t>
        </w:r>
      </w:hyperlink>
      <w:r w:rsidRPr="003231C8">
        <w:t xml:space="preserve"> </w:t>
      </w:r>
    </w:p>
  </w:footnote>
  <w:footnote w:id="34">
    <w:p w14:paraId="0D8A9B87" w14:textId="77777777" w:rsidR="00CF5139" w:rsidRPr="003231C8" w:rsidRDefault="00CF5139" w:rsidP="00D70C05">
      <w:pPr>
        <w:pStyle w:val="FootnoteText"/>
        <w:jc w:val="both"/>
      </w:pPr>
      <w:r w:rsidRPr="003231C8">
        <w:rPr>
          <w:rStyle w:val="FootnoteReference"/>
        </w:rPr>
        <w:footnoteRef/>
      </w:r>
      <w:r w:rsidRPr="003231C8">
        <w:t xml:space="preserve"> Eiropas Parlamenta un Padomes 2022.gada 14.decembra direktīva (ES) Nr.2022/2464, ar ko attiecībā uz korporatīvo ilgtspējas ziņu sniegšanu groza Regulu (ES) Nr. 537/2014, Direktīvu 2004/109/EK, Direktīvu 2006/43/EK un Direktīvu 2013/34/ES </w:t>
      </w:r>
      <w:hyperlink r:id="rId29" w:history="1">
        <w:r w:rsidRPr="003231C8">
          <w:rPr>
            <w:rStyle w:val="Hyperlink"/>
          </w:rPr>
          <w:t>https://eur-lex.europa.eu/legal-content/LV/TXT/HTML/?uri=CELEX:32022L2464</w:t>
        </w:r>
      </w:hyperlink>
      <w:r w:rsidRPr="003231C8">
        <w:t xml:space="preserve"> </w:t>
      </w:r>
    </w:p>
  </w:footnote>
  <w:footnote w:id="35">
    <w:p w14:paraId="197D543A" w14:textId="77777777" w:rsidR="00CF5139" w:rsidRPr="003231C8" w:rsidRDefault="00CF5139" w:rsidP="00D70C05">
      <w:pPr>
        <w:pStyle w:val="FootnoteText"/>
        <w:jc w:val="both"/>
      </w:pPr>
      <w:r w:rsidRPr="003231C8">
        <w:rPr>
          <w:rStyle w:val="FootnoteReference"/>
        </w:rPr>
        <w:footnoteRef/>
      </w:r>
      <w:r w:rsidRPr="003231C8">
        <w:t xml:space="preserve"> Divpusējie darījumi starp ES dalībvalstīm, piemēram, darījumi par gada emisiju sadales vienību tirdzniecību vai AE saistību pārsnieguma (AE statistikas) pārdošanas darījumi</w:t>
      </w:r>
    </w:p>
  </w:footnote>
  <w:footnote w:id="36">
    <w:p w14:paraId="7814E1CD" w14:textId="77777777" w:rsidR="00CF5139" w:rsidRPr="003231C8" w:rsidRDefault="00CF5139" w:rsidP="00D70C05">
      <w:pPr>
        <w:pStyle w:val="FootnoteText"/>
        <w:jc w:val="both"/>
      </w:pPr>
      <w:r w:rsidRPr="003231C8">
        <w:rPr>
          <w:rStyle w:val="FootnoteReference"/>
        </w:rPr>
        <w:footnoteRef/>
      </w:r>
      <w:r w:rsidRPr="003231C8">
        <w:t xml:space="preserve"> </w:t>
      </w:r>
      <w:hyperlink r:id="rId30" w:history="1">
        <w:r w:rsidRPr="003231C8">
          <w:rPr>
            <w:rStyle w:val="Hyperlink"/>
          </w:rPr>
          <w:t>https://stat.gov.lv/lv/statistikas-temas/iedzivotaji/iedzivotaju-skaits/preses-relizes/12338-iedzivotaju-skaita-izmainas?themeCode=IR</w:t>
        </w:r>
      </w:hyperlink>
      <w:r w:rsidRPr="003231C8">
        <w:t xml:space="preserve"> </w:t>
      </w:r>
    </w:p>
  </w:footnote>
  <w:footnote w:id="37">
    <w:p w14:paraId="5427602B" w14:textId="77777777" w:rsidR="00CF5139" w:rsidRPr="003231C8" w:rsidRDefault="00CF5139" w:rsidP="00D70C05">
      <w:pPr>
        <w:pStyle w:val="FootnoteText"/>
        <w:jc w:val="both"/>
      </w:pPr>
      <w:r w:rsidRPr="003231C8">
        <w:rPr>
          <w:rStyle w:val="FootnoteReference"/>
        </w:rPr>
        <w:footnoteRef/>
      </w:r>
      <w:hyperlink r:id="rId31" w:history="1">
        <w:r w:rsidRPr="003231C8">
          <w:rPr>
            <w:rStyle w:val="Hyperlink"/>
          </w:rPr>
          <w:t>https://ec.europa.eu/eurostat/statistics-explained/index.php?title=File:How_are_national_populations_distributed_by_degree_of_urbanisation_(%25_share_of_total_population,_2021)_URE2023.png</w:t>
        </w:r>
      </w:hyperlink>
      <w:r w:rsidRPr="003231C8">
        <w:t xml:space="preserve"> </w:t>
      </w:r>
    </w:p>
  </w:footnote>
  <w:footnote w:id="38">
    <w:p w14:paraId="05A144A4" w14:textId="77777777" w:rsidR="00CF5139" w:rsidRPr="003231C8" w:rsidRDefault="00CF5139" w:rsidP="00D70C05">
      <w:pPr>
        <w:pStyle w:val="FootnoteText"/>
        <w:jc w:val="both"/>
      </w:pPr>
      <w:r w:rsidRPr="003231C8">
        <w:rPr>
          <w:rStyle w:val="FootnoteReference"/>
        </w:rPr>
        <w:footnoteRef/>
      </w:r>
      <w:r w:rsidRPr="003231C8">
        <w:t xml:space="preserve"> Piemēram, Eiropas Parlamenta un Padomes 2023.gada 31.maija regula (ES) 2023/1115, ar ko paredz noteikumus par to, kā Savienības tirgū darīt pieejamas un kā eksportēt no Savienības konkrētas ar atmežošanu un meža degradāciju saistītas pirmpreces un izstrādājumus, un ar ko atceļ Regulu (ES) Nr. 995/2010</w:t>
      </w:r>
    </w:p>
  </w:footnote>
  <w:footnote w:id="39">
    <w:p w14:paraId="16D2F417" w14:textId="77777777" w:rsidR="00CF5139" w:rsidRPr="003231C8" w:rsidRDefault="00CF5139" w:rsidP="00D70C05">
      <w:pPr>
        <w:pStyle w:val="FootnoteText"/>
        <w:jc w:val="both"/>
      </w:pPr>
      <w:r w:rsidRPr="003231C8">
        <w:rPr>
          <w:rStyle w:val="FootnoteReference"/>
        </w:rPr>
        <w:footnoteRef/>
      </w:r>
      <w:r w:rsidRPr="003231C8">
        <w:t xml:space="preserve"> Piemēram, priekšlikums Eiropas Parlamenta un Padomes regulai par dabas atjaunošanu</w:t>
      </w:r>
    </w:p>
  </w:footnote>
  <w:footnote w:id="40">
    <w:p w14:paraId="35EAC5C9" w14:textId="77777777" w:rsidR="00CF5139" w:rsidRPr="003231C8" w:rsidRDefault="00CF5139" w:rsidP="00D70C05">
      <w:pPr>
        <w:pStyle w:val="FootnoteText"/>
        <w:jc w:val="both"/>
      </w:pPr>
      <w:r w:rsidRPr="003231C8">
        <w:rPr>
          <w:rStyle w:val="FootnoteReference"/>
        </w:rPr>
        <w:footnoteRef/>
      </w:r>
      <w:r w:rsidRPr="003231C8">
        <w:t xml:space="preserve"> CSP</w:t>
      </w:r>
    </w:p>
  </w:footnote>
  <w:footnote w:id="41">
    <w:p w14:paraId="0AB2890A" w14:textId="77777777" w:rsidR="00CF5139" w:rsidRPr="003231C8" w:rsidRDefault="00CF5139" w:rsidP="00D70C05">
      <w:pPr>
        <w:pStyle w:val="FootnoteText"/>
        <w:jc w:val="both"/>
      </w:pPr>
      <w:r w:rsidRPr="003231C8">
        <w:rPr>
          <w:rStyle w:val="FootnoteReference"/>
        </w:rPr>
        <w:footnoteRef/>
      </w:r>
      <w:r w:rsidRPr="003231C8">
        <w:t xml:space="preserve"> </w:t>
      </w:r>
      <w:hyperlink r:id="rId32" w:history="1">
        <w:r w:rsidRPr="003231C8">
          <w:rPr>
            <w:rStyle w:val="Hyperlink"/>
          </w:rPr>
          <w:t>https://www.zalais-barometrs.lv/lv/zinas/111</w:t>
        </w:r>
      </w:hyperlink>
      <w:r w:rsidRPr="003231C8">
        <w:t xml:space="preserve"> </w:t>
      </w:r>
    </w:p>
  </w:footnote>
  <w:footnote w:id="42">
    <w:p w14:paraId="7E3FF003" w14:textId="77777777" w:rsidR="00CF5139" w:rsidRPr="00854CA5" w:rsidRDefault="00CF5139" w:rsidP="00D346E7">
      <w:pPr>
        <w:pStyle w:val="FootnoteText"/>
        <w:jc w:val="both"/>
      </w:pPr>
      <w:r w:rsidRPr="00854CA5">
        <w:rPr>
          <w:rStyle w:val="FootnoteReference"/>
        </w:rPr>
        <w:footnoteRef/>
      </w:r>
      <w:r w:rsidRPr="00854CA5">
        <w:t xml:space="preserve"> Samazinājums ir aprēķināts, balstoties uz 2030.gada prognozētām SEG emisijām no 2023.gada ziņojuma par politikām, pasākumiem un SEG prognozēm un 2005.gadu no 2022.gada SEG inventarizācijas, kas aprēķināts ar AR5 ziņojuma globāliem sasilšanas potenciāliem.</w:t>
      </w:r>
    </w:p>
  </w:footnote>
  <w:footnote w:id="43">
    <w:p w14:paraId="75E7A9CF" w14:textId="77777777" w:rsidR="00CF5139" w:rsidRPr="00854CA5" w:rsidRDefault="00CF5139" w:rsidP="00D346E7">
      <w:pPr>
        <w:pStyle w:val="FootnoteText"/>
        <w:jc w:val="both"/>
      </w:pPr>
      <w:r w:rsidRPr="00854CA5">
        <w:rPr>
          <w:rStyle w:val="FootnoteReference"/>
        </w:rPr>
        <w:footnoteRef/>
      </w:r>
      <w:r w:rsidRPr="00854CA5">
        <w:t xml:space="preserve"> FEI</w:t>
      </w:r>
    </w:p>
  </w:footnote>
  <w:footnote w:id="44">
    <w:p w14:paraId="536A5AD1" w14:textId="77777777" w:rsidR="00CF5139" w:rsidRPr="002E584B" w:rsidRDefault="00CF5139" w:rsidP="002E584B">
      <w:pPr>
        <w:pStyle w:val="FootnoteText"/>
        <w:jc w:val="both"/>
        <w:rPr>
          <w:rFonts w:cs="Calibri"/>
        </w:rPr>
      </w:pPr>
      <w:r w:rsidRPr="002E584B">
        <w:rPr>
          <w:rStyle w:val="FootnoteReference"/>
          <w:rFonts w:cs="Calibri"/>
        </w:rPr>
        <w:footnoteRef/>
      </w:r>
      <w:r w:rsidRPr="002E584B">
        <w:rPr>
          <w:rFonts w:cs="Calibri"/>
        </w:rPr>
        <w:t xml:space="preserve"> </w:t>
      </w:r>
      <w:hyperlink r:id="rId33" w:history="1">
        <w:r w:rsidRPr="002E584B">
          <w:rPr>
            <w:rStyle w:val="Hyperlink"/>
            <w:rFonts w:cs="Calibri"/>
          </w:rPr>
          <w:t>https://www.em.gov.lv/lv/nozares_politika/energoefektivitate_un_siltumapgade/zinojumi_eiropas_komisijai/</w:t>
        </w:r>
      </w:hyperlink>
      <w:r w:rsidRPr="002E584B">
        <w:rPr>
          <w:rFonts w:cs="Calibri"/>
        </w:rPr>
        <w:t xml:space="preserve"> </w:t>
      </w:r>
    </w:p>
  </w:footnote>
  <w:footnote w:id="45">
    <w:p w14:paraId="322ADE11" w14:textId="77777777" w:rsidR="00CF5139" w:rsidRPr="003231C8" w:rsidRDefault="00CF5139" w:rsidP="002E584B">
      <w:pPr>
        <w:pStyle w:val="FootnoteText"/>
        <w:jc w:val="both"/>
      </w:pPr>
      <w:r w:rsidRPr="002E584B">
        <w:rPr>
          <w:rStyle w:val="FootnoteReference"/>
          <w:rFonts w:cs="Calibri"/>
        </w:rPr>
        <w:footnoteRef/>
      </w:r>
      <w:r w:rsidRPr="003231C8">
        <w:t xml:space="preserve"> Direktīvas 2018/2001 24.panta 10.punkta c) apakšpunkts; Direktīvas 2023/1791 24.panta 1.punkts</w:t>
      </w:r>
    </w:p>
  </w:footnote>
  <w:footnote w:id="46">
    <w:p w14:paraId="3195F95C" w14:textId="77777777" w:rsidR="00CF5139" w:rsidRPr="003231C8" w:rsidRDefault="00CF5139" w:rsidP="00E6562D">
      <w:pPr>
        <w:jc w:val="both"/>
        <w:rPr>
          <w:rFonts w:ascii="Cambria" w:eastAsia="Calibri"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E6562D">
        <w:rPr>
          <w:rFonts w:ascii="Cambria" w:hAnsi="Cambria" w:cs="Times New Roman"/>
          <w:sz w:val="18"/>
          <w:szCs w:val="18"/>
        </w:rPr>
        <w:t>Latvijas-Igaunijas atkrastes vēja parka ELWIND īstenošanas darbība paredzēt kopīgi uzstādīt arī līdz 1000 MW jaunas vēja enerģijas jaudas.</w:t>
      </w:r>
    </w:p>
  </w:footnote>
  <w:footnote w:id="47">
    <w:p w14:paraId="618C0753" w14:textId="77777777" w:rsidR="00CF5139" w:rsidRDefault="00CF5139" w:rsidP="00702EF7">
      <w:pPr>
        <w:pStyle w:val="FootnoteText"/>
      </w:pPr>
      <w:r>
        <w:rPr>
          <w:rStyle w:val="FootnoteReference"/>
        </w:rPr>
        <w:footnoteRef/>
      </w:r>
      <w:r>
        <w:t xml:space="preserve"> Latvijas Lauksaimniecības universitāte “Siltumnīcefekta gāzu emisiju samazināšanas iespējas ar klimatam draudzīgu lauksaimniecību un mežsaimniecību Latvijā” EVIDEnT projekti. 2018.</w:t>
      </w:r>
    </w:p>
  </w:footnote>
  <w:footnote w:id="48">
    <w:p w14:paraId="5401F13D" w14:textId="77777777" w:rsidR="00CF5139" w:rsidRPr="00B8598C" w:rsidRDefault="00CF5139" w:rsidP="00877D49">
      <w:pPr>
        <w:pStyle w:val="FootnoteText"/>
      </w:pPr>
      <w:r w:rsidRPr="00B8598C">
        <w:rPr>
          <w:rStyle w:val="FootnoteReference"/>
        </w:rPr>
        <w:footnoteRef/>
      </w:r>
      <w:r w:rsidRPr="00B8598C">
        <w:t xml:space="preserve"> </w:t>
      </w:r>
      <w:hyperlink r:id="rId34" w:history="1">
        <w:r w:rsidRPr="00580BA1">
          <w:rPr>
            <w:rStyle w:val="Hyperlink"/>
          </w:rPr>
          <w:t>https://eur-lex.europa.eu/legal-content/LV/ALL/?uri=CELEX%3A32001L0042</w:t>
        </w:r>
      </w:hyperlink>
      <w:r>
        <w:rPr>
          <w:lang w:val="lv-LV"/>
        </w:rPr>
        <w:t xml:space="preserve"> </w:t>
      </w:r>
    </w:p>
  </w:footnote>
  <w:footnote w:id="49">
    <w:p w14:paraId="69909530" w14:textId="77777777" w:rsidR="00CF5139" w:rsidRPr="00981103" w:rsidRDefault="00CF5139" w:rsidP="00EC5ADD">
      <w:pPr>
        <w:pStyle w:val="FootnoteText"/>
        <w:rPr>
          <w:rFonts w:ascii="Times New Roman" w:hAnsi="Times New Roman"/>
        </w:rPr>
      </w:pPr>
      <w:r w:rsidRPr="00981103">
        <w:rPr>
          <w:rStyle w:val="FootnoteReference"/>
          <w:rFonts w:ascii="Times New Roman" w:hAnsi="Times New Roman"/>
        </w:rPr>
        <w:footnoteRef/>
      </w:r>
      <w:r w:rsidRPr="00981103">
        <w:rPr>
          <w:rFonts w:ascii="Times New Roman" w:hAnsi="Times New Roman"/>
        </w:rPr>
        <w:t xml:space="preserve"> Latvijas Dabas fonds, Rīga, 2011</w:t>
      </w:r>
    </w:p>
  </w:footnote>
  <w:footnote w:id="50">
    <w:p w14:paraId="6AB83F15" w14:textId="77777777" w:rsidR="00CF5139" w:rsidRPr="00975E44" w:rsidRDefault="00CF5139" w:rsidP="00582022">
      <w:pPr>
        <w:pStyle w:val="FootnoteText"/>
        <w:rPr>
          <w:rFonts w:ascii="Times New Roman" w:hAnsi="Times New Roman"/>
        </w:rPr>
      </w:pPr>
      <w:r w:rsidRPr="00975E44">
        <w:rPr>
          <w:rStyle w:val="FootnoteReference"/>
          <w:rFonts w:ascii="Times New Roman" w:hAnsi="Times New Roman"/>
        </w:rPr>
        <w:footnoteRef/>
      </w:r>
      <w:r w:rsidRPr="00975E44">
        <w:rPr>
          <w:rFonts w:ascii="Times New Roman" w:hAnsi="Times New Roman"/>
        </w:rPr>
        <w:t xml:space="preserve"> </w:t>
      </w:r>
      <w:r w:rsidRPr="00975E44">
        <w:rPr>
          <w:rFonts w:ascii="Times New Roman" w:hAnsi="Times New Roman"/>
          <w:szCs w:val="24"/>
          <w:lang w:eastAsia="en-GB"/>
        </w:rPr>
        <w:t xml:space="preserve">Dabas aizsardzības pārvalde, </w:t>
      </w:r>
      <w:hyperlink r:id="rId35" w:history="1">
        <w:r w:rsidRPr="00975E44">
          <w:rPr>
            <w:rStyle w:val="Hyperlink"/>
            <w:rFonts w:ascii="Times New Roman" w:hAnsi="Times New Roman"/>
            <w:szCs w:val="24"/>
            <w:lang w:eastAsia="en-GB"/>
          </w:rPr>
          <w:t>http://www.daba.gov.lv</w:t>
        </w:r>
      </w:hyperlink>
      <w:r w:rsidRPr="00975E44">
        <w:rPr>
          <w:rFonts w:ascii="Times New Roman" w:hAnsi="Times New Roman"/>
          <w:szCs w:val="24"/>
          <w:lang w:eastAsia="en-GB"/>
        </w:rPr>
        <w:t xml:space="preserve"> </w:t>
      </w:r>
    </w:p>
  </w:footnote>
  <w:footnote w:id="51">
    <w:p w14:paraId="3958F101" w14:textId="77777777" w:rsidR="00CF5139" w:rsidRDefault="00CF5139" w:rsidP="0063403A">
      <w:pPr>
        <w:pStyle w:val="FootnoteText"/>
      </w:pPr>
      <w:r w:rsidRPr="00981103">
        <w:rPr>
          <w:rStyle w:val="FootnoteReference"/>
          <w:rFonts w:ascii="Times New Roman" w:hAnsi="Times New Roman"/>
        </w:rPr>
        <w:footnoteRef/>
      </w:r>
      <w:r w:rsidRPr="00981103">
        <w:rPr>
          <w:rFonts w:ascii="Times New Roman" w:hAnsi="Times New Roman"/>
        </w:rPr>
        <w:t xml:space="preserve"> </w:t>
      </w:r>
      <w:r w:rsidRPr="005B179E">
        <w:rPr>
          <w:rFonts w:ascii="Times New Roman" w:hAnsi="Times New Roman"/>
        </w:rPr>
        <w:t>GPSRP2030</w:t>
      </w:r>
    </w:p>
  </w:footnote>
  <w:footnote w:id="52">
    <w:p w14:paraId="24228E2E" w14:textId="77777777" w:rsidR="00CF5139" w:rsidRPr="00D40E83" w:rsidRDefault="00CF5139" w:rsidP="00EC5ADD">
      <w:pPr>
        <w:pStyle w:val="FootnoteText"/>
        <w:rPr>
          <w:rFonts w:ascii="Times New Roman" w:hAnsi="Times New Roman"/>
        </w:rPr>
      </w:pPr>
      <w:r w:rsidRPr="00D40E83">
        <w:rPr>
          <w:rStyle w:val="FootnoteReference"/>
          <w:rFonts w:ascii="Times New Roman" w:hAnsi="Times New Roman"/>
        </w:rPr>
        <w:footnoteRef/>
      </w:r>
      <w:r w:rsidRPr="00D40E83">
        <w:rPr>
          <w:rFonts w:ascii="Times New Roman" w:hAnsi="Times New Roman"/>
        </w:rPr>
        <w:t xml:space="preserve"> Padomes Direktīva 1999/13/EK par gaistošu organisko savienojumu emisijas ierobežošanu no organiskiem šķīdinātājiem noteiktos darbības veidos un iekārtās</w:t>
      </w:r>
    </w:p>
  </w:footnote>
  <w:footnote w:id="53">
    <w:p w14:paraId="5CB533E1" w14:textId="77777777" w:rsidR="00CF5139" w:rsidRDefault="00CF5139" w:rsidP="00C42101">
      <w:pPr>
        <w:pStyle w:val="FootnoteText"/>
      </w:pPr>
      <w:r>
        <w:rPr>
          <w:rStyle w:val="FootnoteReference"/>
        </w:rPr>
        <w:footnoteRef/>
      </w:r>
      <w:r>
        <w:t xml:space="preserve"> Pieejams: </w:t>
      </w:r>
      <w:hyperlink r:id="rId36" w:history="1">
        <w:r>
          <w:rPr>
            <w:rStyle w:val="Hyperlink"/>
          </w:rPr>
          <w:t>https://cdr.eionet.europa.eu/lv/eu/nec_revised/inventories/envwqqufw/</w:t>
        </w:r>
      </w:hyperlink>
      <w:r>
        <w:t xml:space="preserve"> </w:t>
      </w:r>
    </w:p>
  </w:footnote>
  <w:footnote w:id="54">
    <w:p w14:paraId="2E942F48" w14:textId="77777777" w:rsidR="00CF5139" w:rsidRDefault="00CF5139" w:rsidP="00C42101">
      <w:pPr>
        <w:pStyle w:val="FootnoteText"/>
      </w:pPr>
      <w:r>
        <w:rPr>
          <w:rStyle w:val="FootnoteReference"/>
        </w:rPr>
        <w:footnoteRef/>
      </w:r>
      <w:r>
        <w:t xml:space="preserve"> Pieejams: </w:t>
      </w:r>
      <w:hyperlink r:id="rId37" w:history="1">
        <w:r>
          <w:rPr>
            <w:rStyle w:val="Hyperlink"/>
          </w:rPr>
          <w:t>http://tap.mk.gov.lv/lv/mk/tap/?pid=40467530</w:t>
        </w:r>
      </w:hyperlink>
      <w:r>
        <w:t xml:space="preserve"> </w:t>
      </w:r>
    </w:p>
  </w:footnote>
  <w:footnote w:id="55">
    <w:p w14:paraId="05E6B041" w14:textId="77777777" w:rsidR="00CF5139" w:rsidRPr="00695157" w:rsidRDefault="00CF5139" w:rsidP="004B07E2">
      <w:pPr>
        <w:pStyle w:val="NoSpacing"/>
        <w:jc w:val="both"/>
      </w:pPr>
      <w:r w:rsidRPr="00AC54FB">
        <w:rPr>
          <w:rStyle w:val="FootnoteReference"/>
        </w:rPr>
        <w:footnoteRef/>
      </w:r>
      <w:r w:rsidRPr="00AC54FB">
        <w:t xml:space="preserve"> </w:t>
      </w:r>
      <w:r w:rsidRPr="00EC1047">
        <w:t>Pārveidošanas sektors ietver patērēto energoresursu apjomu elektroenerģijas un siltumenerģijas ražošanai un pārdošanai.</w:t>
      </w:r>
    </w:p>
  </w:footnote>
  <w:footnote w:id="56">
    <w:p w14:paraId="7E0471F2" w14:textId="77777777" w:rsidR="00CF5139" w:rsidRDefault="00CF5139" w:rsidP="00255715">
      <w:pPr>
        <w:pStyle w:val="FootnoteText"/>
      </w:pPr>
      <w:r w:rsidRPr="00981103">
        <w:rPr>
          <w:rStyle w:val="FootnoteReference"/>
          <w:rFonts w:ascii="Times New Roman" w:hAnsi="Times New Roman"/>
        </w:rPr>
        <w:footnoteRef/>
      </w:r>
      <w:r w:rsidRPr="00981103">
        <w:rPr>
          <w:rFonts w:ascii="Times New Roman" w:hAnsi="Times New Roman"/>
        </w:rPr>
        <w:t xml:space="preserve"> </w:t>
      </w:r>
      <w:r w:rsidRPr="005B179E">
        <w:rPr>
          <w:rFonts w:ascii="Times New Roman" w:hAnsi="Times New Roman"/>
        </w:rPr>
        <w:t>GPSRP2030</w:t>
      </w:r>
    </w:p>
  </w:footnote>
  <w:footnote w:id="57">
    <w:p w14:paraId="0B9443EF" w14:textId="77777777" w:rsidR="00CF5139" w:rsidRPr="00424AE9" w:rsidRDefault="00CF5139" w:rsidP="00EC5ADD">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hyperlink r:id="rId38" w:history="1">
        <w:r w:rsidRPr="00424AE9">
          <w:rPr>
            <w:rStyle w:val="Hyperlink"/>
            <w:rFonts w:ascii="Times New Roman" w:hAnsi="Times New Roman"/>
          </w:rPr>
          <w:t>www.mantojums.lv</w:t>
        </w:r>
      </w:hyperlink>
    </w:p>
  </w:footnote>
  <w:footnote w:id="58">
    <w:p w14:paraId="51FED468" w14:textId="77777777" w:rsidR="00CF5139" w:rsidRPr="00424AE9" w:rsidRDefault="00CF5139" w:rsidP="00B304DA">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r w:rsidRPr="00B304DA">
        <w:rPr>
          <w:color w:val="000000"/>
          <w:szCs w:val="24"/>
        </w:rPr>
        <w:t>03.04.2019 Atzinums Nr. 4-03/7 "Par Jūras plānojuma 2030 Vides pārskatu"</w:t>
      </w:r>
      <w:r w:rsidRPr="00424AE9">
        <w:rPr>
          <w:rFonts w:ascii="Times New Roman" w:hAnsi="Times New Roman"/>
        </w:rPr>
        <w:t xml:space="preserve"> </w:t>
      </w:r>
    </w:p>
  </w:footnote>
  <w:footnote w:id="59">
    <w:p w14:paraId="3827768B" w14:textId="77777777" w:rsidR="00CF5139" w:rsidRPr="00424AE9" w:rsidRDefault="00CF5139" w:rsidP="00FB513E">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r w:rsidRPr="00FB513E">
        <w:rPr>
          <w:color w:val="000000"/>
          <w:szCs w:val="24"/>
        </w:rPr>
        <w:t>"L</w:t>
      </w:r>
      <w:r>
        <w:rPr>
          <w:color w:val="000000"/>
          <w:szCs w:val="24"/>
          <w:lang w:val="lv-LV"/>
        </w:rPr>
        <w:t xml:space="preserve">atvijas situācijai atbilstoša meža apsaimniekošanas </w:t>
      </w:r>
      <w:r w:rsidRPr="00FB513E">
        <w:rPr>
          <w:color w:val="000000"/>
          <w:szCs w:val="24"/>
        </w:rPr>
        <w:t>SEG</w:t>
      </w:r>
      <w:r>
        <w:rPr>
          <w:color w:val="000000"/>
          <w:szCs w:val="24"/>
          <w:lang w:val="lv-LV"/>
        </w:rPr>
        <w:t xml:space="preserve"> emisiju un piesaistes references līmeņa noteikšana </w:t>
      </w:r>
      <w:r w:rsidRPr="00FB513E">
        <w:rPr>
          <w:color w:val="000000"/>
          <w:szCs w:val="24"/>
        </w:rPr>
        <w:t>2021.–2025.</w:t>
      </w:r>
      <w:r>
        <w:rPr>
          <w:color w:val="000000"/>
          <w:szCs w:val="24"/>
          <w:lang w:val="lv-LV"/>
        </w:rPr>
        <w:t> gadam</w:t>
      </w:r>
      <w:r w:rsidRPr="00FB513E">
        <w:rPr>
          <w:color w:val="000000"/>
          <w:szCs w:val="24"/>
        </w:rPr>
        <w:t>", SIA “Meža un koksnes produktu pētniecības un attīstības institūts”,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198EA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4055A5"/>
    <w:multiLevelType w:val="hybridMultilevel"/>
    <w:tmpl w:val="CF20B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4930C5"/>
    <w:multiLevelType w:val="hybridMultilevel"/>
    <w:tmpl w:val="50C40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610478"/>
    <w:multiLevelType w:val="hybridMultilevel"/>
    <w:tmpl w:val="66589DEC"/>
    <w:lvl w:ilvl="0" w:tplc="04260011">
      <w:start w:val="1"/>
      <w:numFmt w:val="decimal"/>
      <w:lvlText w:val="%1)"/>
      <w:lvlJc w:val="left"/>
      <w:pPr>
        <w:ind w:left="948" w:hanging="360"/>
      </w:pPr>
      <w:rPr>
        <w:rFonts w:hint="default"/>
      </w:rPr>
    </w:lvl>
    <w:lvl w:ilvl="1" w:tplc="04260019" w:tentative="1">
      <w:start w:val="1"/>
      <w:numFmt w:val="lowerLetter"/>
      <w:lvlText w:val="%2."/>
      <w:lvlJc w:val="left"/>
      <w:pPr>
        <w:ind w:left="1668" w:hanging="360"/>
      </w:pPr>
    </w:lvl>
    <w:lvl w:ilvl="2" w:tplc="0426001B" w:tentative="1">
      <w:start w:val="1"/>
      <w:numFmt w:val="lowerRoman"/>
      <w:lvlText w:val="%3."/>
      <w:lvlJc w:val="right"/>
      <w:pPr>
        <w:ind w:left="2388" w:hanging="180"/>
      </w:pPr>
    </w:lvl>
    <w:lvl w:ilvl="3" w:tplc="0426000F" w:tentative="1">
      <w:start w:val="1"/>
      <w:numFmt w:val="decimal"/>
      <w:lvlText w:val="%4."/>
      <w:lvlJc w:val="left"/>
      <w:pPr>
        <w:ind w:left="3108" w:hanging="360"/>
      </w:pPr>
    </w:lvl>
    <w:lvl w:ilvl="4" w:tplc="04260019" w:tentative="1">
      <w:start w:val="1"/>
      <w:numFmt w:val="lowerLetter"/>
      <w:lvlText w:val="%5."/>
      <w:lvlJc w:val="left"/>
      <w:pPr>
        <w:ind w:left="3828" w:hanging="360"/>
      </w:pPr>
    </w:lvl>
    <w:lvl w:ilvl="5" w:tplc="0426001B" w:tentative="1">
      <w:start w:val="1"/>
      <w:numFmt w:val="lowerRoman"/>
      <w:lvlText w:val="%6."/>
      <w:lvlJc w:val="right"/>
      <w:pPr>
        <w:ind w:left="4548" w:hanging="180"/>
      </w:pPr>
    </w:lvl>
    <w:lvl w:ilvl="6" w:tplc="0426000F" w:tentative="1">
      <w:start w:val="1"/>
      <w:numFmt w:val="decimal"/>
      <w:lvlText w:val="%7."/>
      <w:lvlJc w:val="left"/>
      <w:pPr>
        <w:ind w:left="5268" w:hanging="360"/>
      </w:pPr>
    </w:lvl>
    <w:lvl w:ilvl="7" w:tplc="04260019" w:tentative="1">
      <w:start w:val="1"/>
      <w:numFmt w:val="lowerLetter"/>
      <w:lvlText w:val="%8."/>
      <w:lvlJc w:val="left"/>
      <w:pPr>
        <w:ind w:left="5988" w:hanging="360"/>
      </w:pPr>
    </w:lvl>
    <w:lvl w:ilvl="8" w:tplc="0426001B" w:tentative="1">
      <w:start w:val="1"/>
      <w:numFmt w:val="lowerRoman"/>
      <w:lvlText w:val="%9."/>
      <w:lvlJc w:val="right"/>
      <w:pPr>
        <w:ind w:left="6708" w:hanging="180"/>
      </w:pPr>
    </w:lvl>
  </w:abstractNum>
  <w:abstractNum w:abstractNumId="5" w15:restartNumberingAfterBreak="0">
    <w:nsid w:val="12201BEC"/>
    <w:multiLevelType w:val="hybridMultilevel"/>
    <w:tmpl w:val="D7A6B770"/>
    <w:lvl w:ilvl="0" w:tplc="0426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15:restartNumberingAfterBreak="0">
    <w:nsid w:val="15A34A23"/>
    <w:multiLevelType w:val="multilevel"/>
    <w:tmpl w:val="D7FC9FA0"/>
    <w:lvl w:ilvl="0">
      <w:start w:val="1"/>
      <w:numFmt w:val="decimal"/>
      <w:pStyle w:val="Virsraksts1"/>
      <w:lvlText w:val="%1."/>
      <w:lvlJc w:val="left"/>
      <w:pPr>
        <w:ind w:left="4188"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7" w15:restartNumberingAfterBreak="0">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2A1149"/>
    <w:multiLevelType w:val="hybridMultilevel"/>
    <w:tmpl w:val="C1BCE440"/>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F2931F9"/>
    <w:multiLevelType w:val="hybridMultilevel"/>
    <w:tmpl w:val="3B08EFFC"/>
    <w:lvl w:ilvl="0" w:tplc="A62A2614">
      <w:start w:val="1"/>
      <w:numFmt w:val="decimal"/>
      <w:lvlText w:val="%1."/>
      <w:lvlJc w:val="left"/>
      <w:pPr>
        <w:tabs>
          <w:tab w:val="num" w:pos="1080"/>
        </w:tabs>
        <w:ind w:left="1080" w:hanging="360"/>
      </w:pPr>
      <w:rPr>
        <w:rFonts w:hint="default"/>
      </w:rPr>
    </w:lvl>
    <w:lvl w:ilvl="1" w:tplc="FFDAF7E4">
      <w:start w:val="1"/>
      <w:numFmt w:val="bullet"/>
      <w:lvlText w:val=""/>
      <w:lvlJc w:val="left"/>
      <w:pPr>
        <w:tabs>
          <w:tab w:val="num" w:pos="1800"/>
        </w:tabs>
        <w:ind w:left="1800" w:hanging="360"/>
      </w:pPr>
      <w:rPr>
        <w:rFonts w:ascii="Wingdings" w:hAnsi="Wingdings"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F2E5037"/>
    <w:multiLevelType w:val="hybridMultilevel"/>
    <w:tmpl w:val="23200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5859D0"/>
    <w:multiLevelType w:val="hybridMultilevel"/>
    <w:tmpl w:val="6764DD68"/>
    <w:lvl w:ilvl="0" w:tplc="0426000F">
      <w:start w:val="1"/>
      <w:numFmt w:val="bullet"/>
      <w:lvlText w:val=""/>
      <w:lvlJc w:val="left"/>
      <w:pPr>
        <w:ind w:left="720" w:hanging="360"/>
      </w:pPr>
      <w:rPr>
        <w:rFonts w:ascii="Symbol" w:hAnsi="Symbol" w:hint="default"/>
      </w:rPr>
    </w:lvl>
    <w:lvl w:ilvl="1" w:tplc="04260019">
      <w:start w:val="1"/>
      <w:numFmt w:val="bullet"/>
      <w:lvlText w:val="o"/>
      <w:lvlJc w:val="left"/>
      <w:pPr>
        <w:ind w:left="1440" w:hanging="360"/>
      </w:pPr>
      <w:rPr>
        <w:rFonts w:ascii="Courier New" w:hAnsi="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7" w15:restartNumberingAfterBreak="0">
    <w:nsid w:val="301A1C50"/>
    <w:multiLevelType w:val="hybridMultilevel"/>
    <w:tmpl w:val="BD9CA3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A42073"/>
    <w:multiLevelType w:val="hybridMultilevel"/>
    <w:tmpl w:val="75387ADE"/>
    <w:lvl w:ilvl="0" w:tplc="04260005">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425574"/>
    <w:multiLevelType w:val="hybridMultilevel"/>
    <w:tmpl w:val="A30CB250"/>
    <w:lvl w:ilvl="0" w:tplc="236C67F6">
      <w:start w:val="1"/>
      <w:numFmt w:val="decimal"/>
      <w:lvlText w:val="%1)"/>
      <w:lvlJc w:val="left"/>
      <w:pPr>
        <w:ind w:left="720" w:hanging="360"/>
      </w:pPr>
      <w:rPr>
        <w:rFonts w:ascii="Cambria" w:hAnsi="Cambria"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235B60"/>
    <w:multiLevelType w:val="hybridMultilevel"/>
    <w:tmpl w:val="929AAA2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2" w15:restartNumberingAfterBreak="0">
    <w:nsid w:val="41A9396D"/>
    <w:multiLevelType w:val="hybridMultilevel"/>
    <w:tmpl w:val="38D48EBA"/>
    <w:lvl w:ilvl="0" w:tplc="DA60153C">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4" w15:restartNumberingAfterBreak="0">
    <w:nsid w:val="44DB4AF2"/>
    <w:multiLevelType w:val="multilevel"/>
    <w:tmpl w:val="09B488D2"/>
    <w:lvl w:ilvl="0">
      <w:start w:val="1"/>
      <w:numFmt w:val="decimal"/>
      <w:lvlText w:val="%1"/>
      <w:lvlJc w:val="left"/>
      <w:pPr>
        <w:tabs>
          <w:tab w:val="num" w:pos="612"/>
        </w:tabs>
        <w:ind w:left="61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2565"/>
        </w:tabs>
        <w:ind w:left="2565"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5" w15:restartNumberingAfterBreak="0">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DA336CD"/>
    <w:multiLevelType w:val="hybridMultilevel"/>
    <w:tmpl w:val="3AF06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E042A23"/>
    <w:multiLevelType w:val="hybridMultilevel"/>
    <w:tmpl w:val="47B8B5E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C571FA"/>
    <w:multiLevelType w:val="hybridMultilevel"/>
    <w:tmpl w:val="1D3E2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31" w15:restartNumberingAfterBreak="0">
    <w:nsid w:val="52E43E78"/>
    <w:multiLevelType w:val="hybridMultilevel"/>
    <w:tmpl w:val="9C865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4" w15:restartNumberingAfterBreak="0">
    <w:nsid w:val="5A9854B7"/>
    <w:multiLevelType w:val="hybridMultilevel"/>
    <w:tmpl w:val="937EC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3B4E97"/>
    <w:multiLevelType w:val="hybridMultilevel"/>
    <w:tmpl w:val="7520E458"/>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7" w15:restartNumberingAfterBreak="0">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98C780B"/>
    <w:multiLevelType w:val="hybridMultilevel"/>
    <w:tmpl w:val="0B7E6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3A6695"/>
    <w:multiLevelType w:val="hybridMultilevel"/>
    <w:tmpl w:val="53988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1D7CDC"/>
    <w:multiLevelType w:val="hybridMultilevel"/>
    <w:tmpl w:val="D84EC13E"/>
    <w:lvl w:ilvl="0" w:tplc="30B04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abstractNum w:abstractNumId="44" w15:restartNumberingAfterBreak="0">
    <w:nsid w:val="7AD34182"/>
    <w:multiLevelType w:val="hybridMultilevel"/>
    <w:tmpl w:val="B680FBD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68098772">
    <w:abstractNumId w:val="24"/>
  </w:num>
  <w:num w:numId="2" w16cid:durableId="98911302">
    <w:abstractNumId w:val="16"/>
  </w:num>
  <w:num w:numId="3" w16cid:durableId="1323512319">
    <w:abstractNumId w:val="18"/>
  </w:num>
  <w:num w:numId="4" w16cid:durableId="1304774048">
    <w:abstractNumId w:val="3"/>
  </w:num>
  <w:num w:numId="5" w16cid:durableId="719599562">
    <w:abstractNumId w:val="44"/>
  </w:num>
  <w:num w:numId="6" w16cid:durableId="713697862">
    <w:abstractNumId w:val="6"/>
  </w:num>
  <w:num w:numId="7" w16cid:durableId="1080518641">
    <w:abstractNumId w:val="9"/>
  </w:num>
  <w:num w:numId="8" w16cid:durableId="1727607054">
    <w:abstractNumId w:val="10"/>
  </w:num>
  <w:num w:numId="9" w16cid:durableId="1349524412">
    <w:abstractNumId w:val="29"/>
  </w:num>
  <w:num w:numId="10" w16cid:durableId="1890533103">
    <w:abstractNumId w:val="8"/>
  </w:num>
  <w:num w:numId="11" w16cid:durableId="471404964">
    <w:abstractNumId w:val="35"/>
  </w:num>
  <w:num w:numId="12" w16cid:durableId="2000575966">
    <w:abstractNumId w:val="34"/>
  </w:num>
  <w:num w:numId="13" w16cid:durableId="216089017">
    <w:abstractNumId w:val="17"/>
  </w:num>
  <w:num w:numId="14" w16cid:durableId="870264683">
    <w:abstractNumId w:val="2"/>
  </w:num>
  <w:num w:numId="15" w16cid:durableId="670568508">
    <w:abstractNumId w:val="41"/>
  </w:num>
  <w:num w:numId="16" w16cid:durableId="1989094563">
    <w:abstractNumId w:val="11"/>
  </w:num>
  <w:num w:numId="17" w16cid:durableId="404300896">
    <w:abstractNumId w:val="31"/>
  </w:num>
  <w:num w:numId="18" w16cid:durableId="812793376">
    <w:abstractNumId w:val="27"/>
  </w:num>
  <w:num w:numId="19" w16cid:durableId="158619119">
    <w:abstractNumId w:val="4"/>
  </w:num>
  <w:num w:numId="20" w16cid:durableId="1715763552">
    <w:abstractNumId w:val="39"/>
  </w:num>
  <w:num w:numId="21" w16cid:durableId="1095441276">
    <w:abstractNumId w:val="22"/>
  </w:num>
  <w:num w:numId="22" w16cid:durableId="1598292183">
    <w:abstractNumId w:val="21"/>
  </w:num>
  <w:num w:numId="23" w16cid:durableId="959796356">
    <w:abstractNumId w:val="46"/>
  </w:num>
  <w:num w:numId="24" w16cid:durableId="2052920797">
    <w:abstractNumId w:val="5"/>
  </w:num>
  <w:num w:numId="25" w16cid:durableId="2006743200">
    <w:abstractNumId w:val="7"/>
  </w:num>
  <w:num w:numId="26" w16cid:durableId="1303080230">
    <w:abstractNumId w:val="26"/>
  </w:num>
  <w:num w:numId="27" w16cid:durableId="654799538">
    <w:abstractNumId w:val="20"/>
  </w:num>
  <w:num w:numId="28" w16cid:durableId="16857428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4078171">
    <w:abstractNumId w:val="45"/>
  </w:num>
  <w:num w:numId="30" w16cid:durableId="355472819">
    <w:abstractNumId w:val="28"/>
  </w:num>
  <w:num w:numId="31" w16cid:durableId="1404334040">
    <w:abstractNumId w:val="37"/>
  </w:num>
  <w:num w:numId="32" w16cid:durableId="1305432300">
    <w:abstractNumId w:val="42"/>
  </w:num>
  <w:num w:numId="33" w16cid:durableId="1756055529">
    <w:abstractNumId w:val="32"/>
  </w:num>
  <w:num w:numId="34" w16cid:durableId="629484114">
    <w:abstractNumId w:val="40"/>
  </w:num>
  <w:num w:numId="35" w16cid:durableId="826288818">
    <w:abstractNumId w:val="19"/>
  </w:num>
  <w:num w:numId="36" w16cid:durableId="654144699">
    <w:abstractNumId w:val="33"/>
  </w:num>
  <w:num w:numId="37" w16cid:durableId="390808248">
    <w:abstractNumId w:val="23"/>
  </w:num>
  <w:num w:numId="38" w16cid:durableId="1842970545">
    <w:abstractNumId w:val="15"/>
  </w:num>
  <w:num w:numId="39" w16cid:durableId="1125998731">
    <w:abstractNumId w:val="12"/>
  </w:num>
  <w:num w:numId="40" w16cid:durableId="497573717">
    <w:abstractNumId w:val="1"/>
  </w:num>
  <w:num w:numId="41" w16cid:durableId="1706100662">
    <w:abstractNumId w:val="14"/>
  </w:num>
  <w:num w:numId="42" w16cid:durableId="2981198">
    <w:abstractNumId w:val="25"/>
  </w:num>
  <w:num w:numId="43" w16cid:durableId="1650937442">
    <w:abstractNumId w:val="13"/>
  </w:num>
  <w:num w:numId="44" w16cid:durableId="1435784881">
    <w:abstractNumId w:val="36"/>
  </w:num>
  <w:num w:numId="45" w16cid:durableId="795221502">
    <w:abstractNumId w:val="43"/>
  </w:num>
  <w:num w:numId="46" w16cid:durableId="1333139153">
    <w:abstractNumId w:val="38"/>
  </w:num>
  <w:num w:numId="47" w16cid:durableId="825826228">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5ADD"/>
    <w:rsid w:val="000008FE"/>
    <w:rsid w:val="000009F2"/>
    <w:rsid w:val="00001EAE"/>
    <w:rsid w:val="0000262F"/>
    <w:rsid w:val="00002813"/>
    <w:rsid w:val="00002B3D"/>
    <w:rsid w:val="0000653F"/>
    <w:rsid w:val="00007F83"/>
    <w:rsid w:val="00010A90"/>
    <w:rsid w:val="00011254"/>
    <w:rsid w:val="00011C15"/>
    <w:rsid w:val="00012218"/>
    <w:rsid w:val="000151CC"/>
    <w:rsid w:val="00015D3D"/>
    <w:rsid w:val="00017641"/>
    <w:rsid w:val="00017854"/>
    <w:rsid w:val="00017F7B"/>
    <w:rsid w:val="000200F2"/>
    <w:rsid w:val="00022510"/>
    <w:rsid w:val="00022733"/>
    <w:rsid w:val="00024009"/>
    <w:rsid w:val="0002422B"/>
    <w:rsid w:val="00025808"/>
    <w:rsid w:val="00026652"/>
    <w:rsid w:val="00027020"/>
    <w:rsid w:val="00030648"/>
    <w:rsid w:val="00030905"/>
    <w:rsid w:val="00030DAF"/>
    <w:rsid w:val="0003119C"/>
    <w:rsid w:val="00031D11"/>
    <w:rsid w:val="00036376"/>
    <w:rsid w:val="00036A27"/>
    <w:rsid w:val="00044960"/>
    <w:rsid w:val="00046249"/>
    <w:rsid w:val="00050B8C"/>
    <w:rsid w:val="0005288F"/>
    <w:rsid w:val="0005602B"/>
    <w:rsid w:val="00056CC1"/>
    <w:rsid w:val="00061FDB"/>
    <w:rsid w:val="00062F5D"/>
    <w:rsid w:val="00062FF4"/>
    <w:rsid w:val="0006343F"/>
    <w:rsid w:val="0006371C"/>
    <w:rsid w:val="000654E1"/>
    <w:rsid w:val="00073CE5"/>
    <w:rsid w:val="00074277"/>
    <w:rsid w:val="00074D56"/>
    <w:rsid w:val="0007518D"/>
    <w:rsid w:val="00076775"/>
    <w:rsid w:val="00076BFE"/>
    <w:rsid w:val="00080856"/>
    <w:rsid w:val="000812DA"/>
    <w:rsid w:val="00081EF2"/>
    <w:rsid w:val="000848FA"/>
    <w:rsid w:val="00085759"/>
    <w:rsid w:val="00086E07"/>
    <w:rsid w:val="000A3473"/>
    <w:rsid w:val="000A44E5"/>
    <w:rsid w:val="000A6A12"/>
    <w:rsid w:val="000A725F"/>
    <w:rsid w:val="000A7939"/>
    <w:rsid w:val="000B17C6"/>
    <w:rsid w:val="000B4DD3"/>
    <w:rsid w:val="000B6CCC"/>
    <w:rsid w:val="000C5202"/>
    <w:rsid w:val="000C7984"/>
    <w:rsid w:val="000D08BC"/>
    <w:rsid w:val="000D0A4B"/>
    <w:rsid w:val="000D32B7"/>
    <w:rsid w:val="000D4E63"/>
    <w:rsid w:val="000D50A3"/>
    <w:rsid w:val="000D5B01"/>
    <w:rsid w:val="000D60D6"/>
    <w:rsid w:val="000E0085"/>
    <w:rsid w:val="000E02BA"/>
    <w:rsid w:val="000E2401"/>
    <w:rsid w:val="000E4745"/>
    <w:rsid w:val="000E4855"/>
    <w:rsid w:val="000E603C"/>
    <w:rsid w:val="000E60E0"/>
    <w:rsid w:val="000E6315"/>
    <w:rsid w:val="000E7D85"/>
    <w:rsid w:val="000F14CB"/>
    <w:rsid w:val="000F53FD"/>
    <w:rsid w:val="000F61E0"/>
    <w:rsid w:val="000F658A"/>
    <w:rsid w:val="000F7F34"/>
    <w:rsid w:val="00101E91"/>
    <w:rsid w:val="00102018"/>
    <w:rsid w:val="001052E7"/>
    <w:rsid w:val="00105AB6"/>
    <w:rsid w:val="001136FC"/>
    <w:rsid w:val="00114A69"/>
    <w:rsid w:val="00115DB7"/>
    <w:rsid w:val="00115F31"/>
    <w:rsid w:val="0011611F"/>
    <w:rsid w:val="001206B9"/>
    <w:rsid w:val="00120D3F"/>
    <w:rsid w:val="00122058"/>
    <w:rsid w:val="0012774A"/>
    <w:rsid w:val="0013097D"/>
    <w:rsid w:val="00137390"/>
    <w:rsid w:val="00140848"/>
    <w:rsid w:val="0014573F"/>
    <w:rsid w:val="00145E2F"/>
    <w:rsid w:val="001461DA"/>
    <w:rsid w:val="001464D8"/>
    <w:rsid w:val="001503F4"/>
    <w:rsid w:val="00151463"/>
    <w:rsid w:val="00155B84"/>
    <w:rsid w:val="00160839"/>
    <w:rsid w:val="00160B52"/>
    <w:rsid w:val="00160F8E"/>
    <w:rsid w:val="00163878"/>
    <w:rsid w:val="00164AC2"/>
    <w:rsid w:val="001734C3"/>
    <w:rsid w:val="0018112A"/>
    <w:rsid w:val="00183AF5"/>
    <w:rsid w:val="00185C43"/>
    <w:rsid w:val="00185CA5"/>
    <w:rsid w:val="00185DD6"/>
    <w:rsid w:val="00186D15"/>
    <w:rsid w:val="00192FE7"/>
    <w:rsid w:val="00193D36"/>
    <w:rsid w:val="0019467B"/>
    <w:rsid w:val="00195456"/>
    <w:rsid w:val="00196F14"/>
    <w:rsid w:val="001A13F0"/>
    <w:rsid w:val="001A19B7"/>
    <w:rsid w:val="001A55D7"/>
    <w:rsid w:val="001A7416"/>
    <w:rsid w:val="001A799E"/>
    <w:rsid w:val="001B098A"/>
    <w:rsid w:val="001B3326"/>
    <w:rsid w:val="001B3FAF"/>
    <w:rsid w:val="001B7075"/>
    <w:rsid w:val="001C2B2D"/>
    <w:rsid w:val="001C31ED"/>
    <w:rsid w:val="001C4727"/>
    <w:rsid w:val="001D2AF6"/>
    <w:rsid w:val="001D6267"/>
    <w:rsid w:val="001D7695"/>
    <w:rsid w:val="001E47B2"/>
    <w:rsid w:val="001E5855"/>
    <w:rsid w:val="001F0CFA"/>
    <w:rsid w:val="001F34C9"/>
    <w:rsid w:val="001F361E"/>
    <w:rsid w:val="001F57C9"/>
    <w:rsid w:val="001F683A"/>
    <w:rsid w:val="00200093"/>
    <w:rsid w:val="00201B5A"/>
    <w:rsid w:val="00202770"/>
    <w:rsid w:val="00207236"/>
    <w:rsid w:val="00210E13"/>
    <w:rsid w:val="00211C1E"/>
    <w:rsid w:val="00212C70"/>
    <w:rsid w:val="00217A10"/>
    <w:rsid w:val="00220C05"/>
    <w:rsid w:val="00222406"/>
    <w:rsid w:val="00222F0A"/>
    <w:rsid w:val="00223232"/>
    <w:rsid w:val="00227C54"/>
    <w:rsid w:val="002345EE"/>
    <w:rsid w:val="00237114"/>
    <w:rsid w:val="002400E3"/>
    <w:rsid w:val="00240AC1"/>
    <w:rsid w:val="00244540"/>
    <w:rsid w:val="0024569D"/>
    <w:rsid w:val="0024587E"/>
    <w:rsid w:val="00245E00"/>
    <w:rsid w:val="002536E1"/>
    <w:rsid w:val="00254F75"/>
    <w:rsid w:val="0025535F"/>
    <w:rsid w:val="00255715"/>
    <w:rsid w:val="002559A1"/>
    <w:rsid w:val="002565FE"/>
    <w:rsid w:val="00257494"/>
    <w:rsid w:val="00262356"/>
    <w:rsid w:val="00262754"/>
    <w:rsid w:val="0027086B"/>
    <w:rsid w:val="00270B70"/>
    <w:rsid w:val="002712D8"/>
    <w:rsid w:val="002737DB"/>
    <w:rsid w:val="00273C05"/>
    <w:rsid w:val="0027785E"/>
    <w:rsid w:val="00282AA0"/>
    <w:rsid w:val="00283985"/>
    <w:rsid w:val="00286335"/>
    <w:rsid w:val="00290B0A"/>
    <w:rsid w:val="00292CBB"/>
    <w:rsid w:val="002933F9"/>
    <w:rsid w:val="00293E1D"/>
    <w:rsid w:val="00294154"/>
    <w:rsid w:val="00294A1F"/>
    <w:rsid w:val="002A1FC8"/>
    <w:rsid w:val="002A28C1"/>
    <w:rsid w:val="002A46D4"/>
    <w:rsid w:val="002A4B17"/>
    <w:rsid w:val="002A6725"/>
    <w:rsid w:val="002A6D6C"/>
    <w:rsid w:val="002A6F85"/>
    <w:rsid w:val="002A768A"/>
    <w:rsid w:val="002B1DA7"/>
    <w:rsid w:val="002B2A95"/>
    <w:rsid w:val="002C188D"/>
    <w:rsid w:val="002C2CB9"/>
    <w:rsid w:val="002C3D5B"/>
    <w:rsid w:val="002D1B2B"/>
    <w:rsid w:val="002D1B2D"/>
    <w:rsid w:val="002D1C2C"/>
    <w:rsid w:val="002D21CB"/>
    <w:rsid w:val="002D48A0"/>
    <w:rsid w:val="002D59BE"/>
    <w:rsid w:val="002D5C06"/>
    <w:rsid w:val="002D60C5"/>
    <w:rsid w:val="002E0470"/>
    <w:rsid w:val="002E173A"/>
    <w:rsid w:val="002E2108"/>
    <w:rsid w:val="002E2454"/>
    <w:rsid w:val="002E24B5"/>
    <w:rsid w:val="002E314F"/>
    <w:rsid w:val="002E5286"/>
    <w:rsid w:val="002E584B"/>
    <w:rsid w:val="002E5C44"/>
    <w:rsid w:val="002F1925"/>
    <w:rsid w:val="002F4669"/>
    <w:rsid w:val="00300ABB"/>
    <w:rsid w:val="00301343"/>
    <w:rsid w:val="0030247A"/>
    <w:rsid w:val="0030598B"/>
    <w:rsid w:val="00306F7A"/>
    <w:rsid w:val="00311AEF"/>
    <w:rsid w:val="003140F4"/>
    <w:rsid w:val="00314CF1"/>
    <w:rsid w:val="0032310B"/>
    <w:rsid w:val="00330DE8"/>
    <w:rsid w:val="00335132"/>
    <w:rsid w:val="00336605"/>
    <w:rsid w:val="00336DC4"/>
    <w:rsid w:val="00337026"/>
    <w:rsid w:val="0034522E"/>
    <w:rsid w:val="00347204"/>
    <w:rsid w:val="00347566"/>
    <w:rsid w:val="00347D49"/>
    <w:rsid w:val="0035184C"/>
    <w:rsid w:val="00356DEB"/>
    <w:rsid w:val="003578BE"/>
    <w:rsid w:val="003579F9"/>
    <w:rsid w:val="003602F5"/>
    <w:rsid w:val="00360483"/>
    <w:rsid w:val="00360495"/>
    <w:rsid w:val="00360E2D"/>
    <w:rsid w:val="00362338"/>
    <w:rsid w:val="00363901"/>
    <w:rsid w:val="00363C60"/>
    <w:rsid w:val="003652D9"/>
    <w:rsid w:val="00365309"/>
    <w:rsid w:val="00365F0C"/>
    <w:rsid w:val="00366225"/>
    <w:rsid w:val="00366708"/>
    <w:rsid w:val="00367DDE"/>
    <w:rsid w:val="00367E58"/>
    <w:rsid w:val="0037009F"/>
    <w:rsid w:val="00371318"/>
    <w:rsid w:val="00372264"/>
    <w:rsid w:val="003724EB"/>
    <w:rsid w:val="00372C5D"/>
    <w:rsid w:val="00374F90"/>
    <w:rsid w:val="003750AE"/>
    <w:rsid w:val="0037740C"/>
    <w:rsid w:val="0037742F"/>
    <w:rsid w:val="00377521"/>
    <w:rsid w:val="003808E0"/>
    <w:rsid w:val="00381711"/>
    <w:rsid w:val="00391538"/>
    <w:rsid w:val="00391E6D"/>
    <w:rsid w:val="00394CE2"/>
    <w:rsid w:val="0039695A"/>
    <w:rsid w:val="0039762C"/>
    <w:rsid w:val="003A7913"/>
    <w:rsid w:val="003B04ED"/>
    <w:rsid w:val="003B27B5"/>
    <w:rsid w:val="003B4A36"/>
    <w:rsid w:val="003B4DA5"/>
    <w:rsid w:val="003B7DD2"/>
    <w:rsid w:val="003C3141"/>
    <w:rsid w:val="003C66F3"/>
    <w:rsid w:val="003C6B05"/>
    <w:rsid w:val="003C73F9"/>
    <w:rsid w:val="003D04FF"/>
    <w:rsid w:val="003D2350"/>
    <w:rsid w:val="003D3CA6"/>
    <w:rsid w:val="003D595E"/>
    <w:rsid w:val="003D732D"/>
    <w:rsid w:val="003E1CBF"/>
    <w:rsid w:val="003E3048"/>
    <w:rsid w:val="003E3851"/>
    <w:rsid w:val="003E3F36"/>
    <w:rsid w:val="003E59FB"/>
    <w:rsid w:val="003E6486"/>
    <w:rsid w:val="003E6A74"/>
    <w:rsid w:val="003E6D33"/>
    <w:rsid w:val="003F10C7"/>
    <w:rsid w:val="003F224B"/>
    <w:rsid w:val="003F3787"/>
    <w:rsid w:val="003F4E2F"/>
    <w:rsid w:val="003F6B7D"/>
    <w:rsid w:val="003F7728"/>
    <w:rsid w:val="003F785C"/>
    <w:rsid w:val="00400AFC"/>
    <w:rsid w:val="00401440"/>
    <w:rsid w:val="00402EC5"/>
    <w:rsid w:val="004038F0"/>
    <w:rsid w:val="0040511C"/>
    <w:rsid w:val="00405508"/>
    <w:rsid w:val="00415DAE"/>
    <w:rsid w:val="004165FA"/>
    <w:rsid w:val="00421EBE"/>
    <w:rsid w:val="00422E43"/>
    <w:rsid w:val="00423147"/>
    <w:rsid w:val="00424AE9"/>
    <w:rsid w:val="00425845"/>
    <w:rsid w:val="00426A7E"/>
    <w:rsid w:val="0043404F"/>
    <w:rsid w:val="00434DBB"/>
    <w:rsid w:val="004404E6"/>
    <w:rsid w:val="00441304"/>
    <w:rsid w:val="00442051"/>
    <w:rsid w:val="004428E1"/>
    <w:rsid w:val="0044314F"/>
    <w:rsid w:val="00443D4D"/>
    <w:rsid w:val="00444F0E"/>
    <w:rsid w:val="00444F6A"/>
    <w:rsid w:val="004452FB"/>
    <w:rsid w:val="00447212"/>
    <w:rsid w:val="00447464"/>
    <w:rsid w:val="004511DF"/>
    <w:rsid w:val="004519D3"/>
    <w:rsid w:val="00456203"/>
    <w:rsid w:val="00460BAD"/>
    <w:rsid w:val="00462A02"/>
    <w:rsid w:val="00465556"/>
    <w:rsid w:val="0046705E"/>
    <w:rsid w:val="00470EF9"/>
    <w:rsid w:val="00473F55"/>
    <w:rsid w:val="00474C0A"/>
    <w:rsid w:val="00475F30"/>
    <w:rsid w:val="0047724B"/>
    <w:rsid w:val="00477A4C"/>
    <w:rsid w:val="00477D27"/>
    <w:rsid w:val="004825AB"/>
    <w:rsid w:val="004826D1"/>
    <w:rsid w:val="00482B28"/>
    <w:rsid w:val="00484530"/>
    <w:rsid w:val="00485D0A"/>
    <w:rsid w:val="00487450"/>
    <w:rsid w:val="00490512"/>
    <w:rsid w:val="00491904"/>
    <w:rsid w:val="0049444D"/>
    <w:rsid w:val="00494B4B"/>
    <w:rsid w:val="0049701B"/>
    <w:rsid w:val="004971A6"/>
    <w:rsid w:val="004973D5"/>
    <w:rsid w:val="00497BE6"/>
    <w:rsid w:val="004A1263"/>
    <w:rsid w:val="004A1466"/>
    <w:rsid w:val="004A330A"/>
    <w:rsid w:val="004A3DAF"/>
    <w:rsid w:val="004B07E2"/>
    <w:rsid w:val="004B3088"/>
    <w:rsid w:val="004B4531"/>
    <w:rsid w:val="004B6EC8"/>
    <w:rsid w:val="004C0797"/>
    <w:rsid w:val="004C2EBD"/>
    <w:rsid w:val="004C4F42"/>
    <w:rsid w:val="004D0919"/>
    <w:rsid w:val="004D1152"/>
    <w:rsid w:val="004D463C"/>
    <w:rsid w:val="004D5A26"/>
    <w:rsid w:val="004E482A"/>
    <w:rsid w:val="004E5239"/>
    <w:rsid w:val="004E5AF5"/>
    <w:rsid w:val="004E5D5A"/>
    <w:rsid w:val="004E77FA"/>
    <w:rsid w:val="004F0720"/>
    <w:rsid w:val="004F4108"/>
    <w:rsid w:val="004F570C"/>
    <w:rsid w:val="004F5AD3"/>
    <w:rsid w:val="0050009A"/>
    <w:rsid w:val="00503CB7"/>
    <w:rsid w:val="005042FD"/>
    <w:rsid w:val="0050484E"/>
    <w:rsid w:val="005067D8"/>
    <w:rsid w:val="00512132"/>
    <w:rsid w:val="00516B26"/>
    <w:rsid w:val="005172F4"/>
    <w:rsid w:val="00517503"/>
    <w:rsid w:val="00520283"/>
    <w:rsid w:val="00523AEE"/>
    <w:rsid w:val="00524F3A"/>
    <w:rsid w:val="0053023F"/>
    <w:rsid w:val="005307FF"/>
    <w:rsid w:val="00532AAE"/>
    <w:rsid w:val="005333D6"/>
    <w:rsid w:val="0053386D"/>
    <w:rsid w:val="00540D0A"/>
    <w:rsid w:val="005413E4"/>
    <w:rsid w:val="00541D9C"/>
    <w:rsid w:val="00544128"/>
    <w:rsid w:val="005442E0"/>
    <w:rsid w:val="005443DC"/>
    <w:rsid w:val="00546675"/>
    <w:rsid w:val="00550642"/>
    <w:rsid w:val="005543F7"/>
    <w:rsid w:val="00560AEB"/>
    <w:rsid w:val="005653DA"/>
    <w:rsid w:val="00567D15"/>
    <w:rsid w:val="0057237E"/>
    <w:rsid w:val="0058095B"/>
    <w:rsid w:val="00580D46"/>
    <w:rsid w:val="0058136D"/>
    <w:rsid w:val="00582022"/>
    <w:rsid w:val="00582258"/>
    <w:rsid w:val="00583755"/>
    <w:rsid w:val="0058409D"/>
    <w:rsid w:val="005853E9"/>
    <w:rsid w:val="00585674"/>
    <w:rsid w:val="00585CA1"/>
    <w:rsid w:val="00586256"/>
    <w:rsid w:val="00591332"/>
    <w:rsid w:val="00592D63"/>
    <w:rsid w:val="00593927"/>
    <w:rsid w:val="0059634B"/>
    <w:rsid w:val="005A0CF1"/>
    <w:rsid w:val="005A18D7"/>
    <w:rsid w:val="005A3BDA"/>
    <w:rsid w:val="005A4A11"/>
    <w:rsid w:val="005A6876"/>
    <w:rsid w:val="005A6D05"/>
    <w:rsid w:val="005B0C72"/>
    <w:rsid w:val="005B11CA"/>
    <w:rsid w:val="005B179E"/>
    <w:rsid w:val="005B5B43"/>
    <w:rsid w:val="005B6239"/>
    <w:rsid w:val="005C0CE4"/>
    <w:rsid w:val="005C0F0D"/>
    <w:rsid w:val="005C1A72"/>
    <w:rsid w:val="005C1C9D"/>
    <w:rsid w:val="005C3BAC"/>
    <w:rsid w:val="005C4BAE"/>
    <w:rsid w:val="005C7C24"/>
    <w:rsid w:val="005D432C"/>
    <w:rsid w:val="005D4FCA"/>
    <w:rsid w:val="005D50F3"/>
    <w:rsid w:val="005D609E"/>
    <w:rsid w:val="005D692F"/>
    <w:rsid w:val="005D6B7D"/>
    <w:rsid w:val="005D727D"/>
    <w:rsid w:val="005D7F91"/>
    <w:rsid w:val="005E1392"/>
    <w:rsid w:val="005E3045"/>
    <w:rsid w:val="005E3681"/>
    <w:rsid w:val="005E3B20"/>
    <w:rsid w:val="005E5A77"/>
    <w:rsid w:val="005F0AFD"/>
    <w:rsid w:val="005F1F18"/>
    <w:rsid w:val="005F353D"/>
    <w:rsid w:val="00601539"/>
    <w:rsid w:val="00601C28"/>
    <w:rsid w:val="00602984"/>
    <w:rsid w:val="00603901"/>
    <w:rsid w:val="0060398D"/>
    <w:rsid w:val="006075AC"/>
    <w:rsid w:val="00610E2A"/>
    <w:rsid w:val="0061134D"/>
    <w:rsid w:val="00617535"/>
    <w:rsid w:val="00624803"/>
    <w:rsid w:val="0063060D"/>
    <w:rsid w:val="00631DEB"/>
    <w:rsid w:val="00633057"/>
    <w:rsid w:val="00633131"/>
    <w:rsid w:val="00633252"/>
    <w:rsid w:val="006339AC"/>
    <w:rsid w:val="0063403A"/>
    <w:rsid w:val="00634F0A"/>
    <w:rsid w:val="006431D0"/>
    <w:rsid w:val="006446E4"/>
    <w:rsid w:val="00644E63"/>
    <w:rsid w:val="00645D08"/>
    <w:rsid w:val="00651651"/>
    <w:rsid w:val="00651BB7"/>
    <w:rsid w:val="00651D33"/>
    <w:rsid w:val="00653E83"/>
    <w:rsid w:val="00654484"/>
    <w:rsid w:val="00655494"/>
    <w:rsid w:val="00660087"/>
    <w:rsid w:val="00661369"/>
    <w:rsid w:val="00661790"/>
    <w:rsid w:val="006622AD"/>
    <w:rsid w:val="0066324C"/>
    <w:rsid w:val="00663BD5"/>
    <w:rsid w:val="00663E9F"/>
    <w:rsid w:val="0066543D"/>
    <w:rsid w:val="00666770"/>
    <w:rsid w:val="00666B5F"/>
    <w:rsid w:val="00667004"/>
    <w:rsid w:val="006710B4"/>
    <w:rsid w:val="006712CD"/>
    <w:rsid w:val="0067443A"/>
    <w:rsid w:val="006744D1"/>
    <w:rsid w:val="0068035E"/>
    <w:rsid w:val="006805C7"/>
    <w:rsid w:val="00680F4D"/>
    <w:rsid w:val="00681AD4"/>
    <w:rsid w:val="006824CD"/>
    <w:rsid w:val="0068576D"/>
    <w:rsid w:val="00692F49"/>
    <w:rsid w:val="00692F4E"/>
    <w:rsid w:val="00693BB6"/>
    <w:rsid w:val="00695AFB"/>
    <w:rsid w:val="006A0D41"/>
    <w:rsid w:val="006A2AB5"/>
    <w:rsid w:val="006A5854"/>
    <w:rsid w:val="006A5FDF"/>
    <w:rsid w:val="006B067F"/>
    <w:rsid w:val="006B2D74"/>
    <w:rsid w:val="006B3AC3"/>
    <w:rsid w:val="006B5461"/>
    <w:rsid w:val="006B7ED2"/>
    <w:rsid w:val="006C0D98"/>
    <w:rsid w:val="006C12AF"/>
    <w:rsid w:val="006C205D"/>
    <w:rsid w:val="006C7921"/>
    <w:rsid w:val="006D1CCB"/>
    <w:rsid w:val="006D4011"/>
    <w:rsid w:val="006D7087"/>
    <w:rsid w:val="006E0206"/>
    <w:rsid w:val="006E2629"/>
    <w:rsid w:val="006E5029"/>
    <w:rsid w:val="006E5C07"/>
    <w:rsid w:val="006F0B1C"/>
    <w:rsid w:val="006F1096"/>
    <w:rsid w:val="006F24D2"/>
    <w:rsid w:val="006F427F"/>
    <w:rsid w:val="006F4341"/>
    <w:rsid w:val="006F514B"/>
    <w:rsid w:val="006F5225"/>
    <w:rsid w:val="0070137E"/>
    <w:rsid w:val="007014A9"/>
    <w:rsid w:val="00702EF7"/>
    <w:rsid w:val="00705C2C"/>
    <w:rsid w:val="007061EF"/>
    <w:rsid w:val="0070710F"/>
    <w:rsid w:val="0070795C"/>
    <w:rsid w:val="0071044A"/>
    <w:rsid w:val="00713139"/>
    <w:rsid w:val="007138CF"/>
    <w:rsid w:val="00715B7E"/>
    <w:rsid w:val="007167A4"/>
    <w:rsid w:val="007259BF"/>
    <w:rsid w:val="0072697E"/>
    <w:rsid w:val="0072708E"/>
    <w:rsid w:val="007307A3"/>
    <w:rsid w:val="00734C49"/>
    <w:rsid w:val="007366B2"/>
    <w:rsid w:val="007370B2"/>
    <w:rsid w:val="00737807"/>
    <w:rsid w:val="00740F16"/>
    <w:rsid w:val="00745AEF"/>
    <w:rsid w:val="00746190"/>
    <w:rsid w:val="007500FB"/>
    <w:rsid w:val="007525C1"/>
    <w:rsid w:val="0075544F"/>
    <w:rsid w:val="00755D22"/>
    <w:rsid w:val="00756165"/>
    <w:rsid w:val="00760589"/>
    <w:rsid w:val="00760D41"/>
    <w:rsid w:val="00761AE3"/>
    <w:rsid w:val="007643A4"/>
    <w:rsid w:val="00764C81"/>
    <w:rsid w:val="00765F1F"/>
    <w:rsid w:val="00767C2A"/>
    <w:rsid w:val="007700BC"/>
    <w:rsid w:val="007733E8"/>
    <w:rsid w:val="00773942"/>
    <w:rsid w:val="00777BAC"/>
    <w:rsid w:val="00781625"/>
    <w:rsid w:val="00782EE2"/>
    <w:rsid w:val="00785740"/>
    <w:rsid w:val="00787216"/>
    <w:rsid w:val="00787A9E"/>
    <w:rsid w:val="0079167A"/>
    <w:rsid w:val="00795495"/>
    <w:rsid w:val="00795754"/>
    <w:rsid w:val="007964B7"/>
    <w:rsid w:val="007A0F57"/>
    <w:rsid w:val="007A111E"/>
    <w:rsid w:val="007A1297"/>
    <w:rsid w:val="007A4FFB"/>
    <w:rsid w:val="007A6B93"/>
    <w:rsid w:val="007B1F24"/>
    <w:rsid w:val="007B25A6"/>
    <w:rsid w:val="007B5561"/>
    <w:rsid w:val="007C1069"/>
    <w:rsid w:val="007C18B0"/>
    <w:rsid w:val="007D075D"/>
    <w:rsid w:val="007D0CFD"/>
    <w:rsid w:val="007D16D1"/>
    <w:rsid w:val="007D2175"/>
    <w:rsid w:val="007D45C7"/>
    <w:rsid w:val="007D4C0F"/>
    <w:rsid w:val="007D6920"/>
    <w:rsid w:val="007E0B51"/>
    <w:rsid w:val="007E10F5"/>
    <w:rsid w:val="007E1939"/>
    <w:rsid w:val="007E2D12"/>
    <w:rsid w:val="007E2FEC"/>
    <w:rsid w:val="007E4B68"/>
    <w:rsid w:val="007E51A4"/>
    <w:rsid w:val="007F037A"/>
    <w:rsid w:val="007F27F0"/>
    <w:rsid w:val="007F2EB9"/>
    <w:rsid w:val="007F555D"/>
    <w:rsid w:val="007F7D06"/>
    <w:rsid w:val="00801E80"/>
    <w:rsid w:val="008135F2"/>
    <w:rsid w:val="00813FE3"/>
    <w:rsid w:val="00815482"/>
    <w:rsid w:val="00817A13"/>
    <w:rsid w:val="0082012B"/>
    <w:rsid w:val="00822456"/>
    <w:rsid w:val="00823ED4"/>
    <w:rsid w:val="008241A6"/>
    <w:rsid w:val="00826FD5"/>
    <w:rsid w:val="00836932"/>
    <w:rsid w:val="00842BB1"/>
    <w:rsid w:val="00843898"/>
    <w:rsid w:val="00846EAA"/>
    <w:rsid w:val="00852BCD"/>
    <w:rsid w:val="0085462E"/>
    <w:rsid w:val="0085714D"/>
    <w:rsid w:val="00857535"/>
    <w:rsid w:val="0086342B"/>
    <w:rsid w:val="00864A86"/>
    <w:rsid w:val="00866A87"/>
    <w:rsid w:val="00867167"/>
    <w:rsid w:val="0087344A"/>
    <w:rsid w:val="00873A4A"/>
    <w:rsid w:val="00874BCB"/>
    <w:rsid w:val="00874C20"/>
    <w:rsid w:val="00876078"/>
    <w:rsid w:val="00877542"/>
    <w:rsid w:val="00877D49"/>
    <w:rsid w:val="0088103C"/>
    <w:rsid w:val="0088161E"/>
    <w:rsid w:val="00882017"/>
    <w:rsid w:val="008823E9"/>
    <w:rsid w:val="00882EDE"/>
    <w:rsid w:val="008830D7"/>
    <w:rsid w:val="00884599"/>
    <w:rsid w:val="0088581B"/>
    <w:rsid w:val="00887037"/>
    <w:rsid w:val="008904DC"/>
    <w:rsid w:val="008910CD"/>
    <w:rsid w:val="008912B6"/>
    <w:rsid w:val="008913D1"/>
    <w:rsid w:val="008919C5"/>
    <w:rsid w:val="008935E3"/>
    <w:rsid w:val="00896F7B"/>
    <w:rsid w:val="00897AA9"/>
    <w:rsid w:val="008A1514"/>
    <w:rsid w:val="008A4B0D"/>
    <w:rsid w:val="008B497D"/>
    <w:rsid w:val="008B6C3B"/>
    <w:rsid w:val="008B7590"/>
    <w:rsid w:val="008C4470"/>
    <w:rsid w:val="008C5869"/>
    <w:rsid w:val="008C5B84"/>
    <w:rsid w:val="008C6731"/>
    <w:rsid w:val="008D0719"/>
    <w:rsid w:val="008D0E04"/>
    <w:rsid w:val="008D1377"/>
    <w:rsid w:val="008D19DB"/>
    <w:rsid w:val="008D4ED1"/>
    <w:rsid w:val="008D51D3"/>
    <w:rsid w:val="008D5665"/>
    <w:rsid w:val="008D6A03"/>
    <w:rsid w:val="008D6A5C"/>
    <w:rsid w:val="008D78B6"/>
    <w:rsid w:val="008E0169"/>
    <w:rsid w:val="008E29A3"/>
    <w:rsid w:val="008E29CF"/>
    <w:rsid w:val="008E3A6E"/>
    <w:rsid w:val="008E46AC"/>
    <w:rsid w:val="008E4754"/>
    <w:rsid w:val="008E4AFC"/>
    <w:rsid w:val="008E7235"/>
    <w:rsid w:val="008E72C9"/>
    <w:rsid w:val="008E7A06"/>
    <w:rsid w:val="008F05DD"/>
    <w:rsid w:val="008F2378"/>
    <w:rsid w:val="008F5756"/>
    <w:rsid w:val="008F6046"/>
    <w:rsid w:val="008F6C1D"/>
    <w:rsid w:val="008F7261"/>
    <w:rsid w:val="008F7304"/>
    <w:rsid w:val="0090168A"/>
    <w:rsid w:val="00902851"/>
    <w:rsid w:val="009050B9"/>
    <w:rsid w:val="009135C6"/>
    <w:rsid w:val="00913C4F"/>
    <w:rsid w:val="0091487C"/>
    <w:rsid w:val="0091722F"/>
    <w:rsid w:val="0091756B"/>
    <w:rsid w:val="009244B3"/>
    <w:rsid w:val="00924E7D"/>
    <w:rsid w:val="00925C0B"/>
    <w:rsid w:val="0092611F"/>
    <w:rsid w:val="00926A3C"/>
    <w:rsid w:val="0092778C"/>
    <w:rsid w:val="00934352"/>
    <w:rsid w:val="0093710D"/>
    <w:rsid w:val="00937AE5"/>
    <w:rsid w:val="00940F2F"/>
    <w:rsid w:val="00942262"/>
    <w:rsid w:val="00944A42"/>
    <w:rsid w:val="00944B3F"/>
    <w:rsid w:val="00946755"/>
    <w:rsid w:val="00950C9E"/>
    <w:rsid w:val="009526EE"/>
    <w:rsid w:val="00953520"/>
    <w:rsid w:val="0095410B"/>
    <w:rsid w:val="009551D3"/>
    <w:rsid w:val="00955A99"/>
    <w:rsid w:val="00957A0B"/>
    <w:rsid w:val="0096046C"/>
    <w:rsid w:val="00961CD2"/>
    <w:rsid w:val="00962FE8"/>
    <w:rsid w:val="00963C79"/>
    <w:rsid w:val="00965770"/>
    <w:rsid w:val="009661E1"/>
    <w:rsid w:val="00967237"/>
    <w:rsid w:val="00967500"/>
    <w:rsid w:val="00973977"/>
    <w:rsid w:val="00973E0B"/>
    <w:rsid w:val="00975E2E"/>
    <w:rsid w:val="00975E44"/>
    <w:rsid w:val="00977054"/>
    <w:rsid w:val="00977203"/>
    <w:rsid w:val="00977A66"/>
    <w:rsid w:val="00977D79"/>
    <w:rsid w:val="009803CC"/>
    <w:rsid w:val="009803D4"/>
    <w:rsid w:val="00981103"/>
    <w:rsid w:val="009811D6"/>
    <w:rsid w:val="00981767"/>
    <w:rsid w:val="0098183F"/>
    <w:rsid w:val="00983493"/>
    <w:rsid w:val="00987C4A"/>
    <w:rsid w:val="00991E70"/>
    <w:rsid w:val="0099571E"/>
    <w:rsid w:val="0099720C"/>
    <w:rsid w:val="00997F74"/>
    <w:rsid w:val="009A2739"/>
    <w:rsid w:val="009A3CA5"/>
    <w:rsid w:val="009A47CF"/>
    <w:rsid w:val="009A51A7"/>
    <w:rsid w:val="009A5918"/>
    <w:rsid w:val="009A5F5E"/>
    <w:rsid w:val="009B0E7A"/>
    <w:rsid w:val="009B3002"/>
    <w:rsid w:val="009B355F"/>
    <w:rsid w:val="009B3AC7"/>
    <w:rsid w:val="009B442B"/>
    <w:rsid w:val="009B5F21"/>
    <w:rsid w:val="009B65E5"/>
    <w:rsid w:val="009B6627"/>
    <w:rsid w:val="009C0409"/>
    <w:rsid w:val="009C14B3"/>
    <w:rsid w:val="009C1A9C"/>
    <w:rsid w:val="009C2323"/>
    <w:rsid w:val="009C4CB4"/>
    <w:rsid w:val="009C69D6"/>
    <w:rsid w:val="009D0D33"/>
    <w:rsid w:val="009D44DF"/>
    <w:rsid w:val="009D6A91"/>
    <w:rsid w:val="009E342E"/>
    <w:rsid w:val="009E3FCA"/>
    <w:rsid w:val="009E693A"/>
    <w:rsid w:val="009E75C2"/>
    <w:rsid w:val="009F571D"/>
    <w:rsid w:val="009F67D7"/>
    <w:rsid w:val="009F7DAF"/>
    <w:rsid w:val="00A0003E"/>
    <w:rsid w:val="00A01341"/>
    <w:rsid w:val="00A03A3C"/>
    <w:rsid w:val="00A04491"/>
    <w:rsid w:val="00A05411"/>
    <w:rsid w:val="00A065A3"/>
    <w:rsid w:val="00A067AF"/>
    <w:rsid w:val="00A07A7F"/>
    <w:rsid w:val="00A10412"/>
    <w:rsid w:val="00A12F7B"/>
    <w:rsid w:val="00A13D8D"/>
    <w:rsid w:val="00A13FBB"/>
    <w:rsid w:val="00A1784C"/>
    <w:rsid w:val="00A23BA8"/>
    <w:rsid w:val="00A23DD3"/>
    <w:rsid w:val="00A24649"/>
    <w:rsid w:val="00A25DDF"/>
    <w:rsid w:val="00A32D21"/>
    <w:rsid w:val="00A34349"/>
    <w:rsid w:val="00A3437C"/>
    <w:rsid w:val="00A35DFF"/>
    <w:rsid w:val="00A37174"/>
    <w:rsid w:val="00A37B2F"/>
    <w:rsid w:val="00A37D70"/>
    <w:rsid w:val="00A410CD"/>
    <w:rsid w:val="00A41AD1"/>
    <w:rsid w:val="00A445C2"/>
    <w:rsid w:val="00A470E4"/>
    <w:rsid w:val="00A50EEC"/>
    <w:rsid w:val="00A571FD"/>
    <w:rsid w:val="00A574B3"/>
    <w:rsid w:val="00A57BC8"/>
    <w:rsid w:val="00A60D54"/>
    <w:rsid w:val="00A60F5B"/>
    <w:rsid w:val="00A6106A"/>
    <w:rsid w:val="00A621A6"/>
    <w:rsid w:val="00A66788"/>
    <w:rsid w:val="00A74395"/>
    <w:rsid w:val="00A75489"/>
    <w:rsid w:val="00A76E4A"/>
    <w:rsid w:val="00A77747"/>
    <w:rsid w:val="00A83B62"/>
    <w:rsid w:val="00A857C5"/>
    <w:rsid w:val="00A86FE0"/>
    <w:rsid w:val="00A87480"/>
    <w:rsid w:val="00A879B0"/>
    <w:rsid w:val="00A909CE"/>
    <w:rsid w:val="00A9303A"/>
    <w:rsid w:val="00A93065"/>
    <w:rsid w:val="00A947AA"/>
    <w:rsid w:val="00A94919"/>
    <w:rsid w:val="00A97790"/>
    <w:rsid w:val="00AA5491"/>
    <w:rsid w:val="00AA5DDA"/>
    <w:rsid w:val="00AB144F"/>
    <w:rsid w:val="00AB1E73"/>
    <w:rsid w:val="00AC1991"/>
    <w:rsid w:val="00AC2920"/>
    <w:rsid w:val="00AC31DD"/>
    <w:rsid w:val="00AC7D8A"/>
    <w:rsid w:val="00AD1543"/>
    <w:rsid w:val="00AD4413"/>
    <w:rsid w:val="00AD697E"/>
    <w:rsid w:val="00AD7919"/>
    <w:rsid w:val="00AE0735"/>
    <w:rsid w:val="00AE2C28"/>
    <w:rsid w:val="00AE2FA9"/>
    <w:rsid w:val="00AE4EE9"/>
    <w:rsid w:val="00AE5109"/>
    <w:rsid w:val="00AE76C1"/>
    <w:rsid w:val="00AF34DB"/>
    <w:rsid w:val="00AF7DCC"/>
    <w:rsid w:val="00B00202"/>
    <w:rsid w:val="00B01144"/>
    <w:rsid w:val="00B01BC9"/>
    <w:rsid w:val="00B03F7F"/>
    <w:rsid w:val="00B04820"/>
    <w:rsid w:val="00B04D1B"/>
    <w:rsid w:val="00B0552A"/>
    <w:rsid w:val="00B101AD"/>
    <w:rsid w:val="00B12CB1"/>
    <w:rsid w:val="00B14E6E"/>
    <w:rsid w:val="00B179AB"/>
    <w:rsid w:val="00B227F4"/>
    <w:rsid w:val="00B2376C"/>
    <w:rsid w:val="00B24226"/>
    <w:rsid w:val="00B24971"/>
    <w:rsid w:val="00B25E15"/>
    <w:rsid w:val="00B27E67"/>
    <w:rsid w:val="00B304DA"/>
    <w:rsid w:val="00B31E95"/>
    <w:rsid w:val="00B35826"/>
    <w:rsid w:val="00B41F99"/>
    <w:rsid w:val="00B427F1"/>
    <w:rsid w:val="00B4421F"/>
    <w:rsid w:val="00B44284"/>
    <w:rsid w:val="00B44EB0"/>
    <w:rsid w:val="00B514DA"/>
    <w:rsid w:val="00B524A9"/>
    <w:rsid w:val="00B52DE7"/>
    <w:rsid w:val="00B53779"/>
    <w:rsid w:val="00B557EE"/>
    <w:rsid w:val="00B568DC"/>
    <w:rsid w:val="00B56EFA"/>
    <w:rsid w:val="00B57238"/>
    <w:rsid w:val="00B57A9D"/>
    <w:rsid w:val="00B62358"/>
    <w:rsid w:val="00B65E92"/>
    <w:rsid w:val="00B71063"/>
    <w:rsid w:val="00B71100"/>
    <w:rsid w:val="00B72C0D"/>
    <w:rsid w:val="00B77C55"/>
    <w:rsid w:val="00B84AE9"/>
    <w:rsid w:val="00B877A8"/>
    <w:rsid w:val="00B87875"/>
    <w:rsid w:val="00B91675"/>
    <w:rsid w:val="00B93B4F"/>
    <w:rsid w:val="00BA0D5B"/>
    <w:rsid w:val="00BA1A52"/>
    <w:rsid w:val="00BA2F8B"/>
    <w:rsid w:val="00BA4F0E"/>
    <w:rsid w:val="00BA5A79"/>
    <w:rsid w:val="00BA5BD3"/>
    <w:rsid w:val="00BB17E6"/>
    <w:rsid w:val="00BB2EC8"/>
    <w:rsid w:val="00BB3949"/>
    <w:rsid w:val="00BB530A"/>
    <w:rsid w:val="00BC0483"/>
    <w:rsid w:val="00BC2E84"/>
    <w:rsid w:val="00BC45C1"/>
    <w:rsid w:val="00BC4F3C"/>
    <w:rsid w:val="00BC7AD4"/>
    <w:rsid w:val="00BC7C72"/>
    <w:rsid w:val="00BD0DE4"/>
    <w:rsid w:val="00BD5F75"/>
    <w:rsid w:val="00BE17E9"/>
    <w:rsid w:val="00BE21D4"/>
    <w:rsid w:val="00BE3862"/>
    <w:rsid w:val="00BE3FE0"/>
    <w:rsid w:val="00BE6FEC"/>
    <w:rsid w:val="00BE71BA"/>
    <w:rsid w:val="00BE766A"/>
    <w:rsid w:val="00BF17D6"/>
    <w:rsid w:val="00C008FD"/>
    <w:rsid w:val="00C0591C"/>
    <w:rsid w:val="00C11C56"/>
    <w:rsid w:val="00C12C5E"/>
    <w:rsid w:val="00C13EE0"/>
    <w:rsid w:val="00C14959"/>
    <w:rsid w:val="00C221B1"/>
    <w:rsid w:val="00C22D44"/>
    <w:rsid w:val="00C233AD"/>
    <w:rsid w:val="00C263A6"/>
    <w:rsid w:val="00C263F0"/>
    <w:rsid w:val="00C26D87"/>
    <w:rsid w:val="00C312BD"/>
    <w:rsid w:val="00C31B25"/>
    <w:rsid w:val="00C32D8D"/>
    <w:rsid w:val="00C343EC"/>
    <w:rsid w:val="00C370D3"/>
    <w:rsid w:val="00C41250"/>
    <w:rsid w:val="00C420C1"/>
    <w:rsid w:val="00C42101"/>
    <w:rsid w:val="00C421E3"/>
    <w:rsid w:val="00C44E9F"/>
    <w:rsid w:val="00C515DE"/>
    <w:rsid w:val="00C528B7"/>
    <w:rsid w:val="00C65D73"/>
    <w:rsid w:val="00C661B0"/>
    <w:rsid w:val="00C70A3E"/>
    <w:rsid w:val="00C71FCA"/>
    <w:rsid w:val="00C8059C"/>
    <w:rsid w:val="00C80761"/>
    <w:rsid w:val="00C80C62"/>
    <w:rsid w:val="00C83697"/>
    <w:rsid w:val="00C83FBA"/>
    <w:rsid w:val="00C91AFD"/>
    <w:rsid w:val="00C96FF5"/>
    <w:rsid w:val="00C975D1"/>
    <w:rsid w:val="00C97E9F"/>
    <w:rsid w:val="00CA062A"/>
    <w:rsid w:val="00CA2CE6"/>
    <w:rsid w:val="00CA3F06"/>
    <w:rsid w:val="00CA551E"/>
    <w:rsid w:val="00CA6353"/>
    <w:rsid w:val="00CA741F"/>
    <w:rsid w:val="00CB05CD"/>
    <w:rsid w:val="00CB25F5"/>
    <w:rsid w:val="00CB4471"/>
    <w:rsid w:val="00CC25EA"/>
    <w:rsid w:val="00CC328E"/>
    <w:rsid w:val="00CC37F2"/>
    <w:rsid w:val="00CC4AFD"/>
    <w:rsid w:val="00CC5097"/>
    <w:rsid w:val="00CC53CA"/>
    <w:rsid w:val="00CC5C9E"/>
    <w:rsid w:val="00CC5D52"/>
    <w:rsid w:val="00CC6BA4"/>
    <w:rsid w:val="00CD1850"/>
    <w:rsid w:val="00CD2251"/>
    <w:rsid w:val="00CD3FCE"/>
    <w:rsid w:val="00CD50E4"/>
    <w:rsid w:val="00CE0EA8"/>
    <w:rsid w:val="00CE2569"/>
    <w:rsid w:val="00CE2EEC"/>
    <w:rsid w:val="00CE661E"/>
    <w:rsid w:val="00CF181E"/>
    <w:rsid w:val="00CF5139"/>
    <w:rsid w:val="00CF6536"/>
    <w:rsid w:val="00D007F6"/>
    <w:rsid w:val="00D022FF"/>
    <w:rsid w:val="00D03F42"/>
    <w:rsid w:val="00D0627C"/>
    <w:rsid w:val="00D07DA2"/>
    <w:rsid w:val="00D11033"/>
    <w:rsid w:val="00D12015"/>
    <w:rsid w:val="00D14516"/>
    <w:rsid w:val="00D15754"/>
    <w:rsid w:val="00D1636F"/>
    <w:rsid w:val="00D17A33"/>
    <w:rsid w:val="00D17E26"/>
    <w:rsid w:val="00D21EE1"/>
    <w:rsid w:val="00D23E39"/>
    <w:rsid w:val="00D27BD7"/>
    <w:rsid w:val="00D31F38"/>
    <w:rsid w:val="00D32380"/>
    <w:rsid w:val="00D330F0"/>
    <w:rsid w:val="00D346E7"/>
    <w:rsid w:val="00D369E2"/>
    <w:rsid w:val="00D36CF5"/>
    <w:rsid w:val="00D40E83"/>
    <w:rsid w:val="00D44A4D"/>
    <w:rsid w:val="00D47724"/>
    <w:rsid w:val="00D5010D"/>
    <w:rsid w:val="00D50C48"/>
    <w:rsid w:val="00D5228A"/>
    <w:rsid w:val="00D53993"/>
    <w:rsid w:val="00D63FA5"/>
    <w:rsid w:val="00D64906"/>
    <w:rsid w:val="00D66E6B"/>
    <w:rsid w:val="00D70C05"/>
    <w:rsid w:val="00D710E7"/>
    <w:rsid w:val="00D76623"/>
    <w:rsid w:val="00D76BC5"/>
    <w:rsid w:val="00D80C89"/>
    <w:rsid w:val="00D80DEC"/>
    <w:rsid w:val="00D86587"/>
    <w:rsid w:val="00D86E83"/>
    <w:rsid w:val="00D90573"/>
    <w:rsid w:val="00D905F0"/>
    <w:rsid w:val="00D90D41"/>
    <w:rsid w:val="00D921DE"/>
    <w:rsid w:val="00D92306"/>
    <w:rsid w:val="00D9267C"/>
    <w:rsid w:val="00D92CB6"/>
    <w:rsid w:val="00D94CB8"/>
    <w:rsid w:val="00D955CB"/>
    <w:rsid w:val="00D9724C"/>
    <w:rsid w:val="00D9777F"/>
    <w:rsid w:val="00DA3985"/>
    <w:rsid w:val="00DA6B16"/>
    <w:rsid w:val="00DB07B5"/>
    <w:rsid w:val="00DB44A8"/>
    <w:rsid w:val="00DB4783"/>
    <w:rsid w:val="00DB697B"/>
    <w:rsid w:val="00DB6BD8"/>
    <w:rsid w:val="00DC1276"/>
    <w:rsid w:val="00DC21A8"/>
    <w:rsid w:val="00DC25FF"/>
    <w:rsid w:val="00DC2C24"/>
    <w:rsid w:val="00DC3E24"/>
    <w:rsid w:val="00DC5C41"/>
    <w:rsid w:val="00DC637F"/>
    <w:rsid w:val="00DD4BAA"/>
    <w:rsid w:val="00DD5564"/>
    <w:rsid w:val="00DD7BD2"/>
    <w:rsid w:val="00DE4BE1"/>
    <w:rsid w:val="00DE6D8A"/>
    <w:rsid w:val="00DF2C4E"/>
    <w:rsid w:val="00DF34B6"/>
    <w:rsid w:val="00DF61A8"/>
    <w:rsid w:val="00DF61DF"/>
    <w:rsid w:val="00DF6782"/>
    <w:rsid w:val="00DF732F"/>
    <w:rsid w:val="00E0066C"/>
    <w:rsid w:val="00E01308"/>
    <w:rsid w:val="00E0232D"/>
    <w:rsid w:val="00E02A37"/>
    <w:rsid w:val="00E03264"/>
    <w:rsid w:val="00E032B6"/>
    <w:rsid w:val="00E03332"/>
    <w:rsid w:val="00E0354F"/>
    <w:rsid w:val="00E04B98"/>
    <w:rsid w:val="00E063A0"/>
    <w:rsid w:val="00E121F6"/>
    <w:rsid w:val="00E124AE"/>
    <w:rsid w:val="00E13039"/>
    <w:rsid w:val="00E1506D"/>
    <w:rsid w:val="00E16E3B"/>
    <w:rsid w:val="00E178A7"/>
    <w:rsid w:val="00E17BE5"/>
    <w:rsid w:val="00E17D1B"/>
    <w:rsid w:val="00E21607"/>
    <w:rsid w:val="00E3198B"/>
    <w:rsid w:val="00E32DC6"/>
    <w:rsid w:val="00E33111"/>
    <w:rsid w:val="00E34B94"/>
    <w:rsid w:val="00E35B8E"/>
    <w:rsid w:val="00E35FC5"/>
    <w:rsid w:val="00E3642C"/>
    <w:rsid w:val="00E3794A"/>
    <w:rsid w:val="00E40062"/>
    <w:rsid w:val="00E43519"/>
    <w:rsid w:val="00E44DD4"/>
    <w:rsid w:val="00E46DE9"/>
    <w:rsid w:val="00E54A2B"/>
    <w:rsid w:val="00E571FA"/>
    <w:rsid w:val="00E606EF"/>
    <w:rsid w:val="00E60C6B"/>
    <w:rsid w:val="00E621E3"/>
    <w:rsid w:val="00E638DA"/>
    <w:rsid w:val="00E643F4"/>
    <w:rsid w:val="00E6562D"/>
    <w:rsid w:val="00E65B04"/>
    <w:rsid w:val="00E67461"/>
    <w:rsid w:val="00E70579"/>
    <w:rsid w:val="00E70E65"/>
    <w:rsid w:val="00E764F1"/>
    <w:rsid w:val="00E77942"/>
    <w:rsid w:val="00E80E43"/>
    <w:rsid w:val="00E81B71"/>
    <w:rsid w:val="00E825DC"/>
    <w:rsid w:val="00E83FD1"/>
    <w:rsid w:val="00E851B9"/>
    <w:rsid w:val="00E87B56"/>
    <w:rsid w:val="00E90C3E"/>
    <w:rsid w:val="00E910FB"/>
    <w:rsid w:val="00E929CD"/>
    <w:rsid w:val="00E93D48"/>
    <w:rsid w:val="00E94DF8"/>
    <w:rsid w:val="00E96028"/>
    <w:rsid w:val="00EA17EA"/>
    <w:rsid w:val="00EA24B8"/>
    <w:rsid w:val="00EA2A07"/>
    <w:rsid w:val="00EB09BF"/>
    <w:rsid w:val="00EB13A6"/>
    <w:rsid w:val="00EB28C0"/>
    <w:rsid w:val="00EB5219"/>
    <w:rsid w:val="00EB5F5E"/>
    <w:rsid w:val="00EB71F4"/>
    <w:rsid w:val="00EB773E"/>
    <w:rsid w:val="00EB7E73"/>
    <w:rsid w:val="00EB7E97"/>
    <w:rsid w:val="00EC30A8"/>
    <w:rsid w:val="00EC4385"/>
    <w:rsid w:val="00EC5ADD"/>
    <w:rsid w:val="00EC730F"/>
    <w:rsid w:val="00ED727E"/>
    <w:rsid w:val="00EE2218"/>
    <w:rsid w:val="00EE2BD5"/>
    <w:rsid w:val="00EE5061"/>
    <w:rsid w:val="00EE54C2"/>
    <w:rsid w:val="00EE6A9E"/>
    <w:rsid w:val="00EF38E9"/>
    <w:rsid w:val="00EF3B2A"/>
    <w:rsid w:val="00EF4F76"/>
    <w:rsid w:val="00EF5BD5"/>
    <w:rsid w:val="00EF7270"/>
    <w:rsid w:val="00F045A3"/>
    <w:rsid w:val="00F0573C"/>
    <w:rsid w:val="00F05A28"/>
    <w:rsid w:val="00F05B5A"/>
    <w:rsid w:val="00F073AD"/>
    <w:rsid w:val="00F13B36"/>
    <w:rsid w:val="00F1469F"/>
    <w:rsid w:val="00F14B9A"/>
    <w:rsid w:val="00F16DDF"/>
    <w:rsid w:val="00F2034F"/>
    <w:rsid w:val="00F2277D"/>
    <w:rsid w:val="00F25B5E"/>
    <w:rsid w:val="00F268A2"/>
    <w:rsid w:val="00F2748A"/>
    <w:rsid w:val="00F336A7"/>
    <w:rsid w:val="00F362BB"/>
    <w:rsid w:val="00F36C7D"/>
    <w:rsid w:val="00F4165B"/>
    <w:rsid w:val="00F44958"/>
    <w:rsid w:val="00F47706"/>
    <w:rsid w:val="00F4792C"/>
    <w:rsid w:val="00F47F51"/>
    <w:rsid w:val="00F511A5"/>
    <w:rsid w:val="00F51D8C"/>
    <w:rsid w:val="00F524F7"/>
    <w:rsid w:val="00F54F2B"/>
    <w:rsid w:val="00F55316"/>
    <w:rsid w:val="00F5783F"/>
    <w:rsid w:val="00F624DB"/>
    <w:rsid w:val="00F647E9"/>
    <w:rsid w:val="00F667E4"/>
    <w:rsid w:val="00F677D1"/>
    <w:rsid w:val="00F6793F"/>
    <w:rsid w:val="00F67C68"/>
    <w:rsid w:val="00F72749"/>
    <w:rsid w:val="00F72A6F"/>
    <w:rsid w:val="00F732C7"/>
    <w:rsid w:val="00F7362F"/>
    <w:rsid w:val="00F75AC0"/>
    <w:rsid w:val="00F7781D"/>
    <w:rsid w:val="00F8250F"/>
    <w:rsid w:val="00F9259A"/>
    <w:rsid w:val="00F932CA"/>
    <w:rsid w:val="00F93493"/>
    <w:rsid w:val="00FA0471"/>
    <w:rsid w:val="00FA0EAA"/>
    <w:rsid w:val="00FA0FF8"/>
    <w:rsid w:val="00FA1220"/>
    <w:rsid w:val="00FA29AD"/>
    <w:rsid w:val="00FA4B63"/>
    <w:rsid w:val="00FB1099"/>
    <w:rsid w:val="00FB1397"/>
    <w:rsid w:val="00FB1A5C"/>
    <w:rsid w:val="00FB1EC4"/>
    <w:rsid w:val="00FB3409"/>
    <w:rsid w:val="00FB513E"/>
    <w:rsid w:val="00FC0BF5"/>
    <w:rsid w:val="00FC1BBB"/>
    <w:rsid w:val="00FC512C"/>
    <w:rsid w:val="00FC6004"/>
    <w:rsid w:val="00FD159F"/>
    <w:rsid w:val="00FD1783"/>
    <w:rsid w:val="00FD32BA"/>
    <w:rsid w:val="00FD699D"/>
    <w:rsid w:val="00FD7BEA"/>
    <w:rsid w:val="00FE0799"/>
    <w:rsid w:val="00FE07E0"/>
    <w:rsid w:val="00FE24CE"/>
    <w:rsid w:val="00FE4A98"/>
    <w:rsid w:val="00FE7464"/>
    <w:rsid w:val="00FF147F"/>
    <w:rsid w:val="00FF1E72"/>
    <w:rsid w:val="00FF2804"/>
    <w:rsid w:val="00FF6145"/>
    <w:rsid w:val="662B0C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F7BE7"/>
  <w15:docId w15:val="{C2B56949-0354-45F2-BCE7-6E29E780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uiPriority w:val="99"/>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99"/>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uiPriority w:val="99"/>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uiPriority w:val="99"/>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2">
    <w:name w:val="Unresolved Mention2"/>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1">
    <w:name w:val="Mention1"/>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1">
    <w:name w:val="List Table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
    <w:name w:val="Plain Table 21"/>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1">
    <w:name w:val="Plain Table 41"/>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 w:type="paragraph" w:styleId="ListBullet">
    <w:name w:val="List Bullet"/>
    <w:basedOn w:val="Normal"/>
    <w:uiPriority w:val="99"/>
    <w:unhideWhenUsed/>
    <w:rsid w:val="004E5239"/>
    <w:pPr>
      <w:numPr>
        <w:numId w:val="4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3013538">
      <w:bodyDiv w:val="1"/>
      <w:marLeft w:val="0"/>
      <w:marRight w:val="0"/>
      <w:marTop w:val="0"/>
      <w:marBottom w:val="0"/>
      <w:divBdr>
        <w:top w:val="none" w:sz="0" w:space="0" w:color="auto"/>
        <w:left w:val="none" w:sz="0" w:space="0" w:color="auto"/>
        <w:bottom w:val="none" w:sz="0" w:space="0" w:color="auto"/>
        <w:right w:val="none" w:sz="0" w:space="0" w:color="auto"/>
      </w:divBdr>
      <w:divsChild>
        <w:div w:id="1626889074">
          <w:marLeft w:val="0"/>
          <w:marRight w:val="0"/>
          <w:marTop w:val="0"/>
          <w:marBottom w:val="0"/>
          <w:divBdr>
            <w:top w:val="none" w:sz="0" w:space="0" w:color="auto"/>
            <w:left w:val="none" w:sz="0" w:space="0" w:color="auto"/>
            <w:bottom w:val="none" w:sz="0" w:space="0" w:color="auto"/>
            <w:right w:val="none" w:sz="0" w:space="0" w:color="auto"/>
          </w:divBdr>
          <w:divsChild>
            <w:div w:id="17393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hyperlink" Target="file:///C:\Users\Helena.Rimsa\OneDrive%20-%20VARAM\NEKP2\DATI\tabulas_grafiki.xlsx" TargetMode="Externa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file:///C:\Users\Helena.Rimsa\OneDrive%20-%20VARAM\NEKP2\DATI\tabulas_grafiki.xlsx" TargetMode="External"/><Relationship Id="rId50" Type="http://schemas.openxmlformats.org/officeDocument/2006/relationships/image" Target="media/image36.jpeg"/><Relationship Id="rId55" Type="http://schemas.openxmlformats.org/officeDocument/2006/relationships/image" Target="media/image40.png"/><Relationship Id="rId63"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38.png"/><Relationship Id="rId58"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image" Target="media/image45.emf"/><Relationship Id="rId19" Type="http://schemas.openxmlformats.org/officeDocument/2006/relationships/hyperlink" Target="file:///C:\Users\Helena.Rimsa\OneDrive%20-%20VARAM\NEKP2\DATI\tabulas_grafiki.xlsx"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4.png"/><Relationship Id="rId56" Type="http://schemas.openxmlformats.org/officeDocument/2006/relationships/image" Target="media/image41.png"/><Relationship Id="rId64" Type="http://schemas.openxmlformats.org/officeDocument/2006/relationships/fontTable" Target="fontTable.xml"/><Relationship Id="rId8" Type="http://schemas.openxmlformats.org/officeDocument/2006/relationships/hyperlink" Target="http://www.enviro.lv" TargetMode="Externa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file:///C:\Users\Helena.Rimsa\OneDrive%20-%20VARAM\NEKP2\DATI\tabulas_grafiki.xlsx" TargetMode="External"/><Relationship Id="rId59" Type="http://schemas.openxmlformats.org/officeDocument/2006/relationships/hyperlink" Target="http://www.eea.europa.eu/lv/themes/climate/intro" TargetMode="External"/><Relationship Id="rId20" Type="http://schemas.openxmlformats.org/officeDocument/2006/relationships/hyperlink" Target="file:///C:\Users\Helena.Rimsa\OneDrive%20-%20VARAM\NEKP2\DATI\tabulas_grafiki.xlsx" TargetMode="External"/><Relationship Id="rId41" Type="http://schemas.openxmlformats.org/officeDocument/2006/relationships/image" Target="media/image29.png"/><Relationship Id="rId54" Type="http://schemas.openxmlformats.org/officeDocument/2006/relationships/image" Target="media/image39.png"/><Relationship Id="rId62"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2.png"/><Relationship Id="rId10" Type="http://schemas.openxmlformats.org/officeDocument/2006/relationships/image" Target="media/image1.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s://data.stat.gov.lv/pxweb/lv/OSP_PUB/START__NOZ__LA__LAG/LAG010" TargetMode="External"/><Relationship Id="rId60" Type="http://schemas.openxmlformats.org/officeDocument/2006/relationships/image" Target="media/image44.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png"/></Relationships>
</file>

<file path=word/_rels/footnotes.xml.rels><?xml version="1.0" encoding="UTF-8" standalone="yes"?>
<Relationships xmlns="http://schemas.openxmlformats.org/package/2006/relationships"><Relationship Id="rId13" Type="http://schemas.openxmlformats.org/officeDocument/2006/relationships/hyperlink" Target="http://polsis.mk.gov.lv/documents/6898" TargetMode="External"/><Relationship Id="rId18" Type="http://schemas.openxmlformats.org/officeDocument/2006/relationships/hyperlink" Target="https://polsis.mk.gov.lv/documents/7239" TargetMode="External"/><Relationship Id="rId26" Type="http://schemas.openxmlformats.org/officeDocument/2006/relationships/hyperlink" Target="https://energy.ec.europa.eu/system/files/2023-09/Biomethane_fiche_LV_web.pdf" TargetMode="External"/><Relationship Id="rId21" Type="http://schemas.openxmlformats.org/officeDocument/2006/relationships/hyperlink" Target="https://likumi.lv/ta/id/317168-par-ricibas-planu-parejai-uz-aprites-ekonomiku-20202027-gadam" TargetMode="External"/><Relationship Id="rId34" Type="http://schemas.openxmlformats.org/officeDocument/2006/relationships/hyperlink" Target="https://eur-lex.europa.eu/legal-content/LV/ALL/?uri=CELEX%3A32001L0042" TargetMode="External"/><Relationship Id="rId7" Type="http://schemas.openxmlformats.org/officeDocument/2006/relationships/hyperlink" Target="https://eur-lex.europa.eu/legal-content/LV/TXT/?uri=uriserv:OJ.L_.2018.328.01.0210.01.LAV&amp;toc=OJ:L:2018:328:FULL" TargetMode="External"/><Relationship Id="rId12" Type="http://schemas.openxmlformats.org/officeDocument/2006/relationships/hyperlink" Target="https://www.pkc.gov.lv/lv/nap2027" TargetMode="External"/><Relationship Id="rId17" Type="http://schemas.openxmlformats.org/officeDocument/2006/relationships/hyperlink" Target="http://polsis.mk.gov.lv/documents/6951" TargetMode="External"/><Relationship Id="rId25" Type="http://schemas.openxmlformats.org/officeDocument/2006/relationships/hyperlink" Target="https://likumi.lv/ta/id/334018-par-taisnigas-parkartosanas-teritorialo-planu" TargetMode="External"/><Relationship Id="rId33" Type="http://schemas.openxmlformats.org/officeDocument/2006/relationships/hyperlink" Target="https://www.em.gov.lv/lv/nozares_politika/energoefektivitate_un_siltumapgade/zinojumi_eiropas_komisijai/" TargetMode="External"/><Relationship Id="rId38" Type="http://schemas.openxmlformats.org/officeDocument/2006/relationships/hyperlink" Target="http://www.mantojums.lv" TargetMode="External"/><Relationship Id="rId2" Type="http://schemas.openxmlformats.org/officeDocument/2006/relationships/hyperlink" Target="https://likumi.lv/ta/id/306691-par-valdibas-ricibas-planu-deklaracijas-par-artura-krisjana-karina-vadita-ministru-kabineta-iecereto-darbibu-istenosanai" TargetMode="External"/><Relationship Id="rId16" Type="http://schemas.openxmlformats.org/officeDocument/2006/relationships/hyperlink" Target="http://polsis.mk.gov.lv/documents/7479" TargetMode="External"/><Relationship Id="rId20" Type="http://schemas.openxmlformats.org/officeDocument/2006/relationships/hyperlink" Target="https://polsis.mk.gov.lv/documents/6983" TargetMode="External"/><Relationship Id="rId29" Type="http://schemas.openxmlformats.org/officeDocument/2006/relationships/hyperlink" Target="https://eur-lex.europa.eu/legal-content/LV/TXT/HTML/?uri=CELEX:32022L2464" TargetMode="External"/><Relationship Id="rId1" Type="http://schemas.openxmlformats.org/officeDocument/2006/relationships/hyperlink" Target="https://likumi.lv/ta/id/281943-par-valdibas-ricibas-planu-deklaracijas-par-mara-kucinska-vadita-ministru-kabineta-iecereto-darbibu-istenosanai" TargetMode="External"/><Relationship Id="rId6" Type="http://schemas.openxmlformats.org/officeDocument/2006/relationships/hyperlink" Target="https://eur-lex.europa.eu/legal-content/LV/TXT/PDF/?uri=CELEX:32018R1999&amp;from=EN" TargetMode="External"/><Relationship Id="rId11" Type="http://schemas.openxmlformats.org/officeDocument/2006/relationships/hyperlink" Target="http://polsis.mk.gov.lv/documents/3323" TargetMode="External"/><Relationship Id="rId24" Type="http://schemas.openxmlformats.org/officeDocument/2006/relationships/hyperlink" Target="https://likumi.lv/ta/id/319013-par-kudras-ilgtspejigas-izmantosanas-pamatnostadnem-20202030-gadam" TargetMode="External"/><Relationship Id="rId32" Type="http://schemas.openxmlformats.org/officeDocument/2006/relationships/hyperlink" Target="https://www.zalais-barometrs.lv/lv/zinas/111" TargetMode="External"/><Relationship Id="rId37" Type="http://schemas.openxmlformats.org/officeDocument/2006/relationships/hyperlink" Target="http://tap.mk.gov.lv/lv/mk/tap/?pid=40467530" TargetMode="External"/><Relationship Id="rId5" Type="http://schemas.openxmlformats.org/officeDocument/2006/relationships/hyperlink" Target="http://data.consilium.europa.eu/doc/document/ST-14459-2015-INIT/lv/pdf" TargetMode="External"/><Relationship Id="rId15" Type="http://schemas.openxmlformats.org/officeDocument/2006/relationships/hyperlink" Target="https://likumi.lv/ta/id/342214-latvijas-strategija-klimatneitralitates-sasniegsanai-lidz-2050-gadam" TargetMode="External"/><Relationship Id="rId23" Type="http://schemas.openxmlformats.org/officeDocument/2006/relationships/hyperlink" Target="https://polsis.mk.gov.lv/documents/7398" TargetMode="External"/><Relationship Id="rId28" Type="http://schemas.openxmlformats.org/officeDocument/2006/relationships/hyperlink" Target="https://www.vzd.gov.lv/lv/zemes-sadalijums-zemes-lietosanas-veidos" TargetMode="External"/><Relationship Id="rId36" Type="http://schemas.openxmlformats.org/officeDocument/2006/relationships/hyperlink" Target="https://cdr.eionet.europa.eu/lv/eu/nec_revised/inventories/envwqqufw/" TargetMode="External"/><Relationship Id="rId10" Type="http://schemas.openxmlformats.org/officeDocument/2006/relationships/hyperlink" Target="https://eur-lex.europa.eu/legal-content/LV/TXT/PDF/?uri=CELEX:52011DC0112&amp;from=LV" TargetMode="External"/><Relationship Id="rId19" Type="http://schemas.openxmlformats.org/officeDocument/2006/relationships/hyperlink" Target="https://polsis.mk.gov.lv/documents/7053" TargetMode="External"/><Relationship Id="rId31"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4" Type="http://schemas.openxmlformats.org/officeDocument/2006/relationships/hyperlink" Target="http://data.consilium.europa.eu/doc/document/ST-169-2014-INIT/lv/pdf" TargetMode="External"/><Relationship Id="rId9" Type="http://schemas.openxmlformats.org/officeDocument/2006/relationships/hyperlink" Target="https://ec.europa.eu/clima/sites/clima/files/docs/pages/com_2018_733_en.pdf" TargetMode="External"/><Relationship Id="rId14" Type="http://schemas.openxmlformats.org/officeDocument/2006/relationships/hyperlink" Target="https://polsis.mk.gov.lv/documents/6507" TargetMode="External"/><Relationship Id="rId22" Type="http://schemas.openxmlformats.org/officeDocument/2006/relationships/hyperlink" Target="https://polsis.mk.gov.lv/documents/6588" TargetMode="External"/><Relationship Id="rId27" Type="http://schemas.openxmlformats.org/officeDocument/2006/relationships/hyperlink" Target="https://videscentrs.lvgmc.lv/lapas/latvijas-klimats" TargetMode="External"/><Relationship Id="rId30" Type="http://schemas.openxmlformats.org/officeDocument/2006/relationships/hyperlink" Target="https://stat.gov.lv/lv/statistikas-temas/iedzivotaji/iedzivotaju-skaits/preses-relizes/12338-iedzivotaju-skaita-izmainas?themeCode=IR" TargetMode="External"/><Relationship Id="rId35" Type="http://schemas.openxmlformats.org/officeDocument/2006/relationships/hyperlink" Target="http://www.daba.gov.lv" TargetMode="External"/><Relationship Id="rId8" Type="http://schemas.openxmlformats.org/officeDocument/2006/relationships/hyperlink" Target="https://eur-lex.europa.eu/legal-content/LV/TXT/PDF/?uri=CELEX:52011DC0112&amp;from=LV" TargetMode="External"/><Relationship Id="rId3" Type="http://schemas.openxmlformats.org/officeDocument/2006/relationships/hyperlink" Target="https://likumi.lv/doc.php?id=175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85469-3E0A-4872-8064-E10472D9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159243</Words>
  <Characters>90770</Characters>
  <Application>Microsoft Office Word</Application>
  <DocSecurity>4</DocSecurity>
  <Lines>756</Lines>
  <Paragraphs>499</Paragraphs>
  <ScaleCrop>false</ScaleCrop>
  <HeadingPairs>
    <vt:vector size="2" baseType="variant">
      <vt:variant>
        <vt:lpstr>Title</vt:lpstr>
      </vt:variant>
      <vt:variant>
        <vt:i4>1</vt:i4>
      </vt:variant>
    </vt:vector>
  </HeadingPairs>
  <TitlesOfParts>
    <vt:vector size="1" baseType="lpstr">
      <vt:lpstr/>
    </vt:vector>
  </TitlesOfParts>
  <Company>F</Company>
  <LinksUpToDate>false</LinksUpToDate>
  <CharactersWithSpaces>249514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Dārta Valdemāre</cp:lastModifiedBy>
  <cp:revision>2</cp:revision>
  <cp:lastPrinted>2024-06-18T08:08:00Z</cp:lastPrinted>
  <dcterms:created xsi:type="dcterms:W3CDTF">2024-06-21T06:24:00Z</dcterms:created>
  <dcterms:modified xsi:type="dcterms:W3CDTF">2024-06-21T06:24:00Z</dcterms:modified>
</cp:coreProperties>
</file>