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65CA6" w14:textId="77777777" w:rsidR="002B615E" w:rsidRPr="00FC55C6" w:rsidRDefault="00D51209" w:rsidP="5342723C">
      <w:pPr>
        <w:shd w:val="clear" w:color="auto" w:fill="5B9BD5"/>
        <w:spacing w:after="180"/>
        <w:jc w:val="center"/>
        <w:rPr>
          <w:rFonts w:ascii="Aptos" w:eastAsia="Aptos" w:hAnsi="Aptos" w:cs="Aptos"/>
          <w:lang w:val="lv-LV"/>
        </w:rPr>
      </w:pPr>
      <w:r w:rsidRPr="5342723C">
        <w:rPr>
          <w:rFonts w:ascii="Aptos" w:eastAsia="Aptos" w:hAnsi="Aptos" w:cs="Aptos"/>
          <w:b/>
          <w:bCs/>
          <w:color w:val="FFFFFF" w:themeColor="background1"/>
          <w:sz w:val="18"/>
          <w:szCs w:val="18"/>
          <w:lang w:val="lv-LV"/>
        </w:rPr>
        <w:t>PARAUGS</w:t>
      </w:r>
    </w:p>
    <w:p w14:paraId="158D44F1" w14:textId="77777777" w:rsidR="002B615E" w:rsidRPr="00925F2D" w:rsidRDefault="00D51209" w:rsidP="4E47A805">
      <w:pPr>
        <w:pStyle w:val="Title"/>
        <w:jc w:val="center"/>
        <w:rPr>
          <w:b/>
          <w:bCs/>
          <w:sz w:val="36"/>
          <w:szCs w:val="36"/>
          <w:lang w:val="lv-LV"/>
        </w:rPr>
      </w:pPr>
      <w:r w:rsidRPr="00925F2D">
        <w:rPr>
          <w:b/>
          <w:bCs/>
          <w:sz w:val="36"/>
          <w:szCs w:val="36"/>
          <w:lang w:val="lv-LV"/>
        </w:rPr>
        <w:t>ES ATBILSTĪBAS DEKLARĀCIJA</w:t>
      </w:r>
    </w:p>
    <w:p w14:paraId="679A95F5" w14:textId="77777777" w:rsidR="002B615E" w:rsidRPr="00FC55C6" w:rsidRDefault="00D51209" w:rsidP="5342723C">
      <w:pPr>
        <w:jc w:val="center"/>
        <w:rPr>
          <w:rFonts w:ascii="Aptos" w:eastAsia="Aptos" w:hAnsi="Aptos" w:cs="Aptos"/>
          <w:lang w:val="lv-LV"/>
        </w:rPr>
      </w:pPr>
      <w:r w:rsidRPr="5342723C">
        <w:rPr>
          <w:rFonts w:ascii="Aptos" w:eastAsia="Aptos" w:hAnsi="Aptos" w:cs="Aptos"/>
          <w:b/>
          <w:bCs/>
          <w:color w:val="365F91"/>
          <w:sz w:val="22"/>
          <w:szCs w:val="22"/>
          <w:lang w:val="lv-LV"/>
        </w:rPr>
        <w:t>Nr. PPWR-BAK-2026-001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2"/>
      </w:tblGrid>
      <w:tr w:rsidR="002B615E" w:rsidRPr="00DA007D" w14:paraId="7FBFA5A8" w14:textId="77777777" w:rsidTr="5342723C">
        <w:trPr>
          <w:jc w:val="center"/>
        </w:trPr>
        <w:tc>
          <w:tcPr>
            <w:tcW w:w="9632" w:type="dxa"/>
            <w:shd w:val="clear" w:color="auto" w:fill="EAF2F8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077D1FD" w14:textId="77777777" w:rsidR="002B615E" w:rsidRPr="00DA007D" w:rsidRDefault="00D51209" w:rsidP="5342723C">
            <w:pPr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b/>
                <w:bCs/>
                <w:color w:val="1F4E79"/>
                <w:sz w:val="20"/>
                <w:szCs w:val="20"/>
                <w:lang w:val="lv-LV"/>
              </w:rPr>
              <w:t xml:space="preserve">Ilustratīvs piemērs. </w:t>
            </w: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Faktiskā deklarācija aizpildāma atbilstoši konkrētā iepakojuma tehniskajai dokumentācijai un piemērojamajām prasībām.</w:t>
            </w:r>
          </w:p>
        </w:tc>
      </w:tr>
    </w:tbl>
    <w:p w14:paraId="075EDBF6" w14:textId="77777777" w:rsidR="002B615E" w:rsidRPr="00476087" w:rsidRDefault="00D51209" w:rsidP="5342723C">
      <w:pPr>
        <w:pStyle w:val="Heading1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476087">
        <w:rPr>
          <w:rFonts w:ascii="Calibri" w:eastAsia="Aptos" w:hAnsi="Calibri" w:cs="Calibri"/>
          <w:b/>
          <w:bCs/>
          <w:sz w:val="24"/>
          <w:szCs w:val="24"/>
          <w:lang w:val="lv-LV"/>
        </w:rPr>
        <w:t>1. Iepakojuma unikālais identifikācijas numurs</w:t>
      </w:r>
    </w:p>
    <w:p w14:paraId="5D291128" w14:textId="6D550E7B" w:rsidR="002B615E" w:rsidRPr="00DA007D" w:rsidRDefault="00DE78C0" w:rsidP="5342723C">
      <w:pPr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 xml:space="preserve">Nr. </w:t>
      </w:r>
      <w:r w:rsidR="00D51209" w:rsidRPr="00DA007D">
        <w:rPr>
          <w:rFonts w:ascii="Aptos" w:eastAsia="Aptos" w:hAnsi="Aptos" w:cs="Aptos"/>
          <w:sz w:val="20"/>
          <w:szCs w:val="20"/>
          <w:lang w:val="lv-LV"/>
        </w:rPr>
        <w:t>MB-PP-001</w:t>
      </w:r>
    </w:p>
    <w:p w14:paraId="0B840C7E" w14:textId="77777777" w:rsidR="002B615E" w:rsidRPr="00476087" w:rsidRDefault="00D51209" w:rsidP="5342723C">
      <w:pPr>
        <w:pStyle w:val="Heading1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476087">
        <w:rPr>
          <w:rFonts w:ascii="Calibri" w:eastAsia="Aptos" w:hAnsi="Calibri" w:cs="Calibri"/>
          <w:b/>
          <w:bCs/>
          <w:sz w:val="24"/>
          <w:szCs w:val="24"/>
          <w:lang w:val="lv-LV"/>
        </w:rPr>
        <w:t>2. Izgatavotāja informācija</w:t>
      </w:r>
    </w:p>
    <w:p w14:paraId="63DFF2E5" w14:textId="77777777" w:rsidR="002B615E" w:rsidRPr="00DA007D" w:rsidRDefault="00D51209" w:rsidP="5342723C">
      <w:pPr>
        <w:spacing w:after="60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color w:val="365F91"/>
          <w:sz w:val="20"/>
          <w:szCs w:val="20"/>
          <w:lang w:val="lv-LV"/>
        </w:rPr>
        <w:t xml:space="preserve">Izgatavotājs: </w:t>
      </w:r>
      <w:r w:rsidRPr="00DA007D">
        <w:rPr>
          <w:rFonts w:ascii="Aptos" w:eastAsia="Aptos" w:hAnsi="Aptos" w:cs="Aptos"/>
          <w:sz w:val="20"/>
          <w:szCs w:val="20"/>
          <w:lang w:val="lv-LV"/>
        </w:rPr>
        <w:t>SIA “Maizes Iepakojums”</w:t>
      </w:r>
    </w:p>
    <w:p w14:paraId="21763314" w14:textId="77777777" w:rsidR="002B615E" w:rsidRPr="00DA007D" w:rsidRDefault="00D51209" w:rsidP="5342723C">
      <w:pPr>
        <w:spacing w:after="60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color w:val="365F91"/>
          <w:sz w:val="20"/>
          <w:szCs w:val="20"/>
          <w:lang w:val="lv-LV"/>
        </w:rPr>
        <w:t xml:space="preserve">Adrese: </w:t>
      </w:r>
      <w:r w:rsidRPr="00DA007D">
        <w:rPr>
          <w:rFonts w:ascii="Aptos" w:eastAsia="Aptos" w:hAnsi="Aptos" w:cs="Aptos"/>
          <w:sz w:val="20"/>
          <w:szCs w:val="20"/>
          <w:lang w:val="lv-LV"/>
        </w:rPr>
        <w:t>Cepēju iela 15, Rīga, LV-1006, Latvija</w:t>
      </w:r>
    </w:p>
    <w:p w14:paraId="4E9251B8" w14:textId="77777777" w:rsidR="002B615E" w:rsidRPr="00DA007D" w:rsidRDefault="00D51209" w:rsidP="5342723C">
      <w:pPr>
        <w:spacing w:after="60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color w:val="365F91"/>
          <w:sz w:val="20"/>
          <w:szCs w:val="20"/>
          <w:lang w:val="lv-LV"/>
        </w:rPr>
        <w:t xml:space="preserve">Tālrunis: </w:t>
      </w:r>
      <w:r w:rsidRPr="00DA007D">
        <w:rPr>
          <w:rFonts w:ascii="Aptos" w:eastAsia="Aptos" w:hAnsi="Aptos" w:cs="Aptos"/>
          <w:sz w:val="20"/>
          <w:szCs w:val="20"/>
          <w:lang w:val="lv-LV"/>
        </w:rPr>
        <w:t>+371 60000000</w:t>
      </w:r>
    </w:p>
    <w:p w14:paraId="5E55D64F" w14:textId="77777777" w:rsidR="002B615E" w:rsidRPr="00DA007D" w:rsidRDefault="00D51209" w:rsidP="5342723C">
      <w:pPr>
        <w:spacing w:after="60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color w:val="365F91"/>
          <w:sz w:val="20"/>
          <w:szCs w:val="20"/>
          <w:lang w:val="lv-LV"/>
        </w:rPr>
        <w:t xml:space="preserve">E-pasts: </w:t>
      </w:r>
      <w:r w:rsidRPr="00DA007D">
        <w:rPr>
          <w:rFonts w:ascii="Aptos" w:eastAsia="Aptos" w:hAnsi="Aptos" w:cs="Aptos"/>
          <w:sz w:val="20"/>
          <w:szCs w:val="20"/>
          <w:lang w:val="lv-LV"/>
        </w:rPr>
        <w:t>info@maizesiepakojums.lv</w:t>
      </w:r>
    </w:p>
    <w:p w14:paraId="1E0B8611" w14:textId="77777777" w:rsidR="002B615E" w:rsidRPr="00DA007D" w:rsidRDefault="00D51209" w:rsidP="5342723C">
      <w:pPr>
        <w:spacing w:after="60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color w:val="365F91"/>
          <w:sz w:val="20"/>
          <w:szCs w:val="20"/>
          <w:lang w:val="lv-LV"/>
        </w:rPr>
        <w:t xml:space="preserve">Pilnvarotais pārstāvis: </w:t>
      </w:r>
      <w:r w:rsidRPr="00DA007D">
        <w:rPr>
          <w:rFonts w:ascii="Aptos" w:eastAsia="Aptos" w:hAnsi="Aptos" w:cs="Aptos"/>
          <w:sz w:val="20"/>
          <w:szCs w:val="20"/>
          <w:lang w:val="lv-LV"/>
        </w:rPr>
        <w:t>Nav piemērojams.</w:t>
      </w:r>
    </w:p>
    <w:p w14:paraId="3B230D32" w14:textId="77777777" w:rsidR="002B615E" w:rsidRPr="00476087" w:rsidRDefault="00D51209" w:rsidP="5342723C">
      <w:pPr>
        <w:pStyle w:val="Heading1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476087">
        <w:rPr>
          <w:rFonts w:ascii="Calibri" w:eastAsia="Aptos" w:hAnsi="Calibri" w:cs="Calibri"/>
          <w:b/>
          <w:bCs/>
          <w:sz w:val="24"/>
          <w:szCs w:val="24"/>
          <w:lang w:val="lv-LV"/>
        </w:rPr>
        <w:t>3. Atbildība par deklarāciju</w:t>
      </w:r>
    </w:p>
    <w:p w14:paraId="4ABE1AE5" w14:textId="77777777" w:rsidR="002B615E" w:rsidRPr="00DA007D" w:rsidRDefault="00D51209" w:rsidP="5342723C">
      <w:pPr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Par šīs ES atbilstības deklarācijas izdošanu ir atbildīgs tikai izgatavotājs.</w:t>
      </w:r>
    </w:p>
    <w:p w14:paraId="7A1A93F6" w14:textId="77777777" w:rsidR="002B615E" w:rsidRPr="00476087" w:rsidRDefault="00D51209" w:rsidP="5342723C">
      <w:pPr>
        <w:pStyle w:val="Heading1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476087">
        <w:rPr>
          <w:rFonts w:ascii="Calibri" w:eastAsia="Aptos" w:hAnsi="Calibri" w:cs="Calibri"/>
          <w:b/>
          <w:bCs/>
          <w:sz w:val="24"/>
          <w:szCs w:val="24"/>
          <w:lang w:val="lv-LV"/>
        </w:rPr>
        <w:t>4. Deklarācijas priekšmets</w:t>
      </w:r>
    </w:p>
    <w:p w14:paraId="68AB3D39" w14:textId="77777777" w:rsidR="002B615E" w:rsidRPr="00DA007D" w:rsidRDefault="00D51209" w:rsidP="5342723C">
      <w:pPr>
        <w:spacing w:after="60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color w:val="365F91"/>
          <w:sz w:val="20"/>
          <w:szCs w:val="20"/>
          <w:lang w:val="lv-LV"/>
        </w:rPr>
        <w:t xml:space="preserve">Produkta nosaukums: </w:t>
      </w:r>
      <w:r w:rsidRPr="00DA007D">
        <w:rPr>
          <w:rFonts w:ascii="Aptos" w:eastAsia="Aptos" w:hAnsi="Aptos" w:cs="Aptos"/>
          <w:sz w:val="20"/>
          <w:szCs w:val="20"/>
          <w:lang w:val="lv-LV"/>
        </w:rPr>
        <w:t>Maizes iepakojuma maisiņš ar caurspīdīgu skata logu</w:t>
      </w:r>
    </w:p>
    <w:p w14:paraId="0C58B377" w14:textId="77777777" w:rsidR="002B615E" w:rsidRPr="00DA007D" w:rsidRDefault="00D51209" w:rsidP="5342723C">
      <w:pPr>
        <w:spacing w:after="60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color w:val="365F91"/>
          <w:sz w:val="20"/>
          <w:szCs w:val="20"/>
          <w:lang w:val="lv-LV"/>
        </w:rPr>
        <w:t xml:space="preserve">Produkta identifikācija: </w:t>
      </w:r>
      <w:r w:rsidRPr="00DA007D">
        <w:rPr>
          <w:rFonts w:ascii="Aptos" w:eastAsia="Aptos" w:hAnsi="Aptos" w:cs="Aptos"/>
          <w:sz w:val="20"/>
          <w:szCs w:val="20"/>
          <w:lang w:val="lv-LV"/>
        </w:rPr>
        <w:t>MB-PP-001</w:t>
      </w:r>
    </w:p>
    <w:p w14:paraId="41E98418" w14:textId="77777777" w:rsidR="002B615E" w:rsidRPr="00DA007D" w:rsidRDefault="00D51209" w:rsidP="5342723C">
      <w:pPr>
        <w:spacing w:after="60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color w:val="365F91"/>
          <w:sz w:val="20"/>
          <w:szCs w:val="20"/>
          <w:lang w:val="lv-LV"/>
        </w:rPr>
        <w:t xml:space="preserve">Produkta apraksts: </w:t>
      </w:r>
      <w:r w:rsidRPr="00DA007D">
        <w:rPr>
          <w:rFonts w:ascii="Aptos" w:eastAsia="Aptos" w:hAnsi="Aptos" w:cs="Aptos"/>
          <w:sz w:val="20"/>
          <w:szCs w:val="20"/>
          <w:lang w:val="lv-LV"/>
        </w:rPr>
        <w:t>Elastīgs iepakojuma maisiņš maizes un maizes izstrādājumu iepakošanai mazumtirdzniecībā.</w:t>
      </w:r>
    </w:p>
    <w:p w14:paraId="367D5879" w14:textId="77777777" w:rsidR="002B615E" w:rsidRPr="00476087" w:rsidRDefault="00D51209" w:rsidP="5342723C">
      <w:pPr>
        <w:pStyle w:val="Heading2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476087">
        <w:rPr>
          <w:rFonts w:ascii="Calibri" w:eastAsia="Aptos" w:hAnsi="Calibri" w:cs="Calibri"/>
          <w:b/>
          <w:bCs/>
          <w:sz w:val="24"/>
          <w:szCs w:val="24"/>
          <w:lang w:val="lv-LV"/>
        </w:rPr>
        <w:t>Materiālu sastāvs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4247"/>
        <w:gridCol w:w="5953"/>
      </w:tblGrid>
      <w:tr w:rsidR="002B615E" w:rsidRPr="00DA007D" w14:paraId="2E920E47" w14:textId="77777777" w:rsidTr="5342723C">
        <w:trPr>
          <w:jc w:val="center"/>
        </w:trPr>
        <w:tc>
          <w:tcPr>
            <w:tcW w:w="4247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7E5F0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b/>
                <w:bCs/>
                <w:color w:val="FFFFFF" w:themeColor="background1"/>
                <w:sz w:val="20"/>
                <w:szCs w:val="20"/>
                <w:lang w:val="lv-LV"/>
              </w:rPr>
              <w:t>Komponents</w:t>
            </w:r>
          </w:p>
        </w:tc>
        <w:tc>
          <w:tcPr>
            <w:tcW w:w="5953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FCE2B6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b/>
                <w:bCs/>
                <w:color w:val="FFFFFF" w:themeColor="background1"/>
                <w:sz w:val="20"/>
                <w:szCs w:val="20"/>
                <w:lang w:val="lv-LV"/>
              </w:rPr>
              <w:t>Materiāls</w:t>
            </w:r>
          </w:p>
        </w:tc>
      </w:tr>
      <w:tr w:rsidR="002B615E" w:rsidRPr="00DA007D" w14:paraId="6B1CAA5A" w14:textId="77777777" w:rsidTr="5342723C">
        <w:trPr>
          <w:jc w:val="center"/>
        </w:trPr>
        <w:tc>
          <w:tcPr>
            <w:tcW w:w="4247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A8011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Maisiņa korpuss</w:t>
            </w:r>
          </w:p>
        </w:tc>
        <w:tc>
          <w:tcPr>
            <w:tcW w:w="5953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FE54E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Papīrs</w:t>
            </w:r>
          </w:p>
        </w:tc>
      </w:tr>
      <w:tr w:rsidR="002B615E" w:rsidRPr="00DA007D" w14:paraId="54C5EAE7" w14:textId="77777777" w:rsidTr="5342723C">
        <w:trPr>
          <w:jc w:val="center"/>
        </w:trPr>
        <w:tc>
          <w:tcPr>
            <w:tcW w:w="42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02C17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Skata logs</w:t>
            </w:r>
          </w:p>
        </w:tc>
        <w:tc>
          <w:tcPr>
            <w:tcW w:w="595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84FAF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Polipropilēns (PP)</w:t>
            </w:r>
          </w:p>
        </w:tc>
      </w:tr>
      <w:tr w:rsidR="002B615E" w:rsidRPr="00DA007D" w14:paraId="25245233" w14:textId="77777777" w:rsidTr="5342723C">
        <w:trPr>
          <w:jc w:val="center"/>
        </w:trPr>
        <w:tc>
          <w:tcPr>
            <w:tcW w:w="4247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18359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Līmvielas</w:t>
            </w:r>
          </w:p>
        </w:tc>
        <w:tc>
          <w:tcPr>
            <w:tcW w:w="5953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A8C898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Pārtikas iepakojumam piemērotas līmvielas</w:t>
            </w:r>
          </w:p>
        </w:tc>
      </w:tr>
      <w:tr w:rsidR="002B615E" w:rsidRPr="00DA007D" w14:paraId="66B199B4" w14:textId="77777777" w:rsidTr="5342723C">
        <w:trPr>
          <w:jc w:val="center"/>
        </w:trPr>
        <w:tc>
          <w:tcPr>
            <w:tcW w:w="42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24657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Druka</w:t>
            </w:r>
          </w:p>
        </w:tc>
        <w:tc>
          <w:tcPr>
            <w:tcW w:w="595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017350" w14:textId="77777777" w:rsidR="002B615E" w:rsidRPr="00DA007D" w:rsidRDefault="00D51209" w:rsidP="5342723C">
            <w:pPr>
              <w:spacing w:after="80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Ūdens bāzes krāsas</w:t>
            </w:r>
          </w:p>
        </w:tc>
      </w:tr>
    </w:tbl>
    <w:p w14:paraId="46627FD5" w14:textId="77777777" w:rsidR="002B615E" w:rsidRPr="00476087" w:rsidRDefault="00D51209" w:rsidP="5342723C">
      <w:pPr>
        <w:pStyle w:val="Heading2"/>
        <w:rPr>
          <w:rFonts w:ascii="Aptos" w:eastAsia="Aptos" w:hAnsi="Aptos" w:cs="Aptos"/>
          <w:b/>
          <w:bCs/>
          <w:sz w:val="24"/>
          <w:szCs w:val="24"/>
          <w:lang w:val="lv-LV"/>
        </w:rPr>
      </w:pPr>
      <w:r w:rsidRPr="00476087">
        <w:rPr>
          <w:rFonts w:ascii="Aptos" w:eastAsia="Aptos" w:hAnsi="Aptos" w:cs="Aptos"/>
          <w:b/>
          <w:bCs/>
          <w:sz w:val="24"/>
          <w:szCs w:val="24"/>
          <w:lang w:val="lv-LV"/>
        </w:rPr>
        <w:t>Galvenie parametri</w:t>
      </w:r>
    </w:p>
    <w:p w14:paraId="4BCEE85E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Paredzētais lietojums: maizes un maizes izstrādājumu iepakošana;</w:t>
      </w:r>
    </w:p>
    <w:p w14:paraId="5BB53DC1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iepakojuma veids: tirdzniecības iepakojums;</w:t>
      </w:r>
    </w:p>
    <w:p w14:paraId="530F0CA0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pārtikas tieša saskare: jā;</w:t>
      </w:r>
    </w:p>
    <w:p w14:paraId="0364251A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iepakojums paredzēts vienreizējai lietošanai.</w:t>
      </w:r>
    </w:p>
    <w:p w14:paraId="33F01B28" w14:textId="77777777" w:rsidR="002B615E" w:rsidRPr="00DA007D" w:rsidRDefault="00D51209" w:rsidP="5342723C">
      <w:pPr>
        <w:pStyle w:val="Heading1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DA007D">
        <w:rPr>
          <w:rFonts w:ascii="Calibri" w:eastAsia="Aptos" w:hAnsi="Calibri" w:cs="Calibri"/>
          <w:b/>
          <w:bCs/>
          <w:sz w:val="24"/>
          <w:szCs w:val="24"/>
          <w:lang w:val="lv-LV"/>
        </w:rPr>
        <w:lastRenderedPageBreak/>
        <w:t>5. Atbilstības deklarācija</w:t>
      </w:r>
    </w:p>
    <w:p w14:paraId="1D4E96AA" w14:textId="71940EC8" w:rsidR="002B615E" w:rsidRPr="00DA007D" w:rsidRDefault="00D51209" w:rsidP="5342723C">
      <w:pPr>
        <w:spacing w:before="100" w:beforeAutospacing="1" w:after="100" w:afterAutospacing="1" w:line="240" w:lineRule="auto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Iepriekš aprakstītais iepakojums atbilst Eiropas Parlamenta un Padomes Regulai (ES) 2025/40 (2024. gada 19. decembris) par iepakojumu un iepakojuma atkritumiem, ar ko groza Regulu (ES) 2019/1020 un Direktīvu (ES) 2019/904 un atceļ Direktīvu 94/62/EK</w:t>
      </w:r>
      <w:r w:rsidR="00FC55C6" w:rsidRPr="00DA007D">
        <w:rPr>
          <w:rFonts w:ascii="Aptos" w:eastAsia="Aptos" w:hAnsi="Aptos" w:cs="Aptos"/>
          <w:sz w:val="20"/>
          <w:szCs w:val="20"/>
          <w:lang w:val="lv-LV"/>
        </w:rPr>
        <w:t xml:space="preserve"> </w:t>
      </w:r>
      <w:r w:rsidR="00FC55C6" w:rsidRPr="00DA007D">
        <w:rPr>
          <w:rFonts w:ascii="Aptos" w:eastAsia="Aptos" w:hAnsi="Aptos" w:cs="Aptos"/>
          <w:color w:val="000000" w:themeColor="text1"/>
          <w:sz w:val="20"/>
          <w:szCs w:val="20"/>
        </w:rPr>
        <w:t xml:space="preserve">40 </w:t>
      </w:r>
      <w:r w:rsidR="00FC55C6" w:rsidRPr="00DA007D">
        <w:rPr>
          <w:rFonts w:ascii="Aptos" w:eastAsia="Aptos" w:hAnsi="Aptos" w:cs="Aptos"/>
          <w:sz w:val="20"/>
          <w:szCs w:val="20"/>
          <w:lang w:val="lv-LV"/>
        </w:rPr>
        <w:t>5.–12. pantā noteiktajām piemērojamām prasībām ir novērtēta saskaņā ar regulas 38. pantu un VII pielikumu</w:t>
      </w:r>
      <w:r w:rsidR="00DE78C0" w:rsidRPr="00DA007D">
        <w:rPr>
          <w:rFonts w:ascii="Aptos" w:eastAsia="Aptos" w:hAnsi="Aptos" w:cs="Aptos"/>
          <w:sz w:val="20"/>
          <w:szCs w:val="20"/>
          <w:lang w:val="lv-LV"/>
        </w:rPr>
        <w:t>.</w:t>
      </w:r>
    </w:p>
    <w:p w14:paraId="6AF6B605" w14:textId="77777777" w:rsidR="002B615E" w:rsidRPr="00DA007D" w:rsidRDefault="00D51209" w:rsidP="5342723C">
      <w:pPr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b/>
          <w:bCs/>
          <w:sz w:val="20"/>
          <w:szCs w:val="20"/>
          <w:lang w:val="lv-LV"/>
        </w:rPr>
        <w:t>Izgatavotājs apliecina, ka</w:t>
      </w:r>
      <w:r w:rsidRPr="00DA007D">
        <w:rPr>
          <w:rFonts w:ascii="Aptos" w:eastAsia="Aptos" w:hAnsi="Aptos" w:cs="Aptos"/>
          <w:sz w:val="20"/>
          <w:szCs w:val="20"/>
          <w:lang w:val="lv-LV"/>
        </w:rPr>
        <w:t>:</w:t>
      </w:r>
    </w:p>
    <w:p w14:paraId="15B1DBD9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iepakojums ir projektēts, ievērojot iepakojuma minimizācijas principu;</w:t>
      </w:r>
    </w:p>
    <w:p w14:paraId="634BDB63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izmantotie materiāli ir piemēroti paredzētajam lietojumam;</w:t>
      </w:r>
    </w:p>
    <w:p w14:paraId="702C50B6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iepakojums ir izstrādāts tā, lai to varētu savākt un pārstrādāt esošajās atkritumu apsaimniekošanas sistēmās;</w:t>
      </w:r>
    </w:p>
    <w:p w14:paraId="6F213799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ir izstrādāta un uzturēta tehniskā dokumentācija, kas apliecina atbilstību piemērojamajām prasībām.</w:t>
      </w:r>
    </w:p>
    <w:p w14:paraId="685ECE8F" w14:textId="77777777" w:rsidR="002B615E" w:rsidRPr="00DA007D" w:rsidRDefault="00D51209" w:rsidP="5342723C">
      <w:pPr>
        <w:pStyle w:val="Heading1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DA007D">
        <w:rPr>
          <w:rFonts w:ascii="Calibri" w:eastAsia="Aptos" w:hAnsi="Calibri" w:cs="Calibri"/>
          <w:b/>
          <w:bCs/>
          <w:sz w:val="24"/>
          <w:szCs w:val="24"/>
          <w:lang w:val="lv-LV"/>
        </w:rPr>
        <w:t>6. Piemērotie standarti un tehniskās specifikācijas</w:t>
      </w:r>
    </w:p>
    <w:p w14:paraId="18272608" w14:textId="77777777" w:rsidR="002B615E" w:rsidRPr="00DA007D" w:rsidRDefault="00D51209" w:rsidP="5342723C">
      <w:pPr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Atbilstības novērtējumā izmantoti:</w:t>
      </w:r>
    </w:p>
    <w:p w14:paraId="30EAD1D4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izgatavotāja tehniskie rasējumi un specifikācijas;</w:t>
      </w:r>
    </w:p>
    <w:p w14:paraId="3B809273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iepakojuma masas un tilpuma optimizācijas novērtējums;</w:t>
      </w:r>
    </w:p>
    <w:p w14:paraId="4E7F16D9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pārstrādājamības novērtējums;</w:t>
      </w:r>
    </w:p>
    <w:p w14:paraId="7C9C7133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iekšējās kvalitātes kontroles procedūras;</w:t>
      </w:r>
    </w:p>
    <w:p w14:paraId="18AFA0B9" w14:textId="77777777" w:rsidR="002B615E" w:rsidRPr="00DA007D" w:rsidRDefault="00D51209" w:rsidP="5342723C">
      <w:pPr>
        <w:pStyle w:val="ListBullet"/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piemērojamie standarti attiecībā uz iepakojumu un pārtikas kontaktmateriāliem.</w:t>
      </w:r>
    </w:p>
    <w:p w14:paraId="24B5A1F7" w14:textId="77777777" w:rsidR="002B615E" w:rsidRPr="00DA007D" w:rsidRDefault="00D51209" w:rsidP="5342723C">
      <w:pPr>
        <w:pStyle w:val="Heading1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DA007D">
        <w:rPr>
          <w:rFonts w:ascii="Calibri" w:eastAsia="Aptos" w:hAnsi="Calibri" w:cs="Calibri"/>
          <w:b/>
          <w:bCs/>
          <w:sz w:val="24"/>
          <w:szCs w:val="24"/>
          <w:lang w:val="lv-LV"/>
        </w:rPr>
        <w:t>7. Paziņotā struktūra</w:t>
      </w:r>
    </w:p>
    <w:p w14:paraId="67134284" w14:textId="77777777" w:rsidR="002B615E" w:rsidRPr="00DA007D" w:rsidRDefault="00D51209" w:rsidP="5342723C">
      <w:pPr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Nav piemērojams.</w:t>
      </w:r>
    </w:p>
    <w:p w14:paraId="68EBAE39" w14:textId="77777777" w:rsidR="002B615E" w:rsidRPr="00DA007D" w:rsidRDefault="00D51209" w:rsidP="5342723C">
      <w:pPr>
        <w:pStyle w:val="Heading1"/>
        <w:rPr>
          <w:rFonts w:ascii="Calibri" w:eastAsia="Aptos" w:hAnsi="Calibri" w:cs="Calibri"/>
          <w:b/>
          <w:bCs/>
          <w:sz w:val="24"/>
          <w:szCs w:val="24"/>
          <w:lang w:val="lv-LV"/>
        </w:rPr>
      </w:pPr>
      <w:r w:rsidRPr="00DA007D">
        <w:rPr>
          <w:rFonts w:ascii="Calibri" w:eastAsia="Aptos" w:hAnsi="Calibri" w:cs="Calibri"/>
          <w:b/>
          <w:bCs/>
          <w:sz w:val="24"/>
          <w:szCs w:val="24"/>
          <w:lang w:val="lv-LV"/>
        </w:rPr>
        <w:t>8. Papildinformācija</w:t>
      </w:r>
    </w:p>
    <w:p w14:paraId="53F57F5D" w14:textId="386C35AE" w:rsidR="002B615E" w:rsidRPr="00DA007D" w:rsidRDefault="00D51209" w:rsidP="5342723C">
      <w:pPr>
        <w:rPr>
          <w:rFonts w:ascii="Aptos" w:eastAsia="Aptos" w:hAnsi="Aptos" w:cs="Aptos"/>
          <w:sz w:val="20"/>
          <w:szCs w:val="20"/>
          <w:lang w:val="lv-LV"/>
        </w:rPr>
      </w:pPr>
      <w:r w:rsidRPr="00DA007D">
        <w:rPr>
          <w:rFonts w:ascii="Aptos" w:eastAsia="Aptos" w:hAnsi="Aptos" w:cs="Aptos"/>
          <w:sz w:val="20"/>
          <w:szCs w:val="20"/>
          <w:lang w:val="lv-LV"/>
        </w:rPr>
        <w:t>Atbilstības novērtēšana veikta saskaņā ar Regulas (ES) 2025/40 VII pielikuma A moduli “Iekšējā ražošanas kontrole”. Tehniskā dokumentācija tiek glabāta izgatavotāja rīcībā un pēc pieprasījuma ir pieejama kompetentajām iestādēm.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6"/>
        <w:gridCol w:w="4816"/>
      </w:tblGrid>
      <w:tr w:rsidR="002B615E" w:rsidRPr="00DA007D" w14:paraId="07228EED" w14:textId="77777777" w:rsidTr="5342723C">
        <w:trPr>
          <w:jc w:val="center"/>
        </w:trPr>
        <w:tc>
          <w:tcPr>
            <w:tcW w:w="4816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3F073" w14:textId="77777777" w:rsidR="002B615E" w:rsidRPr="00DA007D" w:rsidRDefault="00D51209" w:rsidP="5342723C">
            <w:pPr>
              <w:spacing w:after="80"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b/>
                <w:bCs/>
                <w:color w:val="365F91"/>
                <w:sz w:val="20"/>
                <w:szCs w:val="20"/>
                <w:lang w:val="lv-LV"/>
              </w:rPr>
              <w:t>Izsniegšanas vieta</w:t>
            </w:r>
          </w:p>
        </w:tc>
        <w:tc>
          <w:tcPr>
            <w:tcW w:w="481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C2133" w14:textId="77777777" w:rsidR="002B615E" w:rsidRPr="00DA007D" w:rsidRDefault="00D51209" w:rsidP="5342723C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Rīga, Latvija</w:t>
            </w:r>
          </w:p>
        </w:tc>
      </w:tr>
      <w:tr w:rsidR="002B615E" w:rsidRPr="00DA007D" w14:paraId="5D82D95B" w14:textId="77777777" w:rsidTr="5342723C">
        <w:trPr>
          <w:jc w:val="center"/>
        </w:trPr>
        <w:tc>
          <w:tcPr>
            <w:tcW w:w="4816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1D511" w14:textId="77777777" w:rsidR="002B615E" w:rsidRPr="00DA007D" w:rsidRDefault="00D51209" w:rsidP="5342723C">
            <w:pPr>
              <w:spacing w:after="80"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b/>
                <w:bCs/>
                <w:color w:val="365F91"/>
                <w:sz w:val="20"/>
                <w:szCs w:val="20"/>
                <w:lang w:val="lv-LV"/>
              </w:rPr>
              <w:t>Izsniegšanas datums</w:t>
            </w:r>
          </w:p>
        </w:tc>
        <w:tc>
          <w:tcPr>
            <w:tcW w:w="481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7C525" w14:textId="77777777" w:rsidR="002B615E" w:rsidRPr="00DA007D" w:rsidRDefault="00D51209" w:rsidP="5342723C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2026. gada 11. septembris</w:t>
            </w:r>
          </w:p>
        </w:tc>
      </w:tr>
      <w:tr w:rsidR="002B615E" w:rsidRPr="00DA007D" w14:paraId="5E6B5CD0" w14:textId="77777777" w:rsidTr="5342723C">
        <w:trPr>
          <w:jc w:val="center"/>
        </w:trPr>
        <w:tc>
          <w:tcPr>
            <w:tcW w:w="4816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96BBF" w14:textId="77777777" w:rsidR="002B615E" w:rsidRPr="00DA007D" w:rsidRDefault="00D51209" w:rsidP="5342723C">
            <w:pPr>
              <w:spacing w:after="80"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b/>
                <w:bCs/>
                <w:color w:val="365F91"/>
                <w:sz w:val="20"/>
                <w:szCs w:val="20"/>
                <w:lang w:val="lv-LV"/>
              </w:rPr>
              <w:t>Vārds, uzvārds</w:t>
            </w:r>
          </w:p>
        </w:tc>
        <w:tc>
          <w:tcPr>
            <w:tcW w:w="481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7699C" w14:textId="77777777" w:rsidR="002B615E" w:rsidRPr="00DA007D" w:rsidRDefault="00D51209" w:rsidP="5342723C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Jānis Ozoliņš</w:t>
            </w:r>
          </w:p>
        </w:tc>
      </w:tr>
      <w:tr w:rsidR="002B615E" w:rsidRPr="00DA007D" w14:paraId="772229DB" w14:textId="77777777" w:rsidTr="5342723C">
        <w:trPr>
          <w:jc w:val="center"/>
        </w:trPr>
        <w:tc>
          <w:tcPr>
            <w:tcW w:w="4816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47AEB" w14:textId="77777777" w:rsidR="002B615E" w:rsidRPr="00DA007D" w:rsidRDefault="00D51209" w:rsidP="5342723C">
            <w:pPr>
              <w:spacing w:after="80"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b/>
                <w:bCs/>
                <w:color w:val="365F91"/>
                <w:sz w:val="20"/>
                <w:szCs w:val="20"/>
                <w:lang w:val="lv-LV"/>
              </w:rPr>
              <w:t>Amats</w:t>
            </w:r>
          </w:p>
        </w:tc>
        <w:tc>
          <w:tcPr>
            <w:tcW w:w="481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7C5DAB" w14:textId="77777777" w:rsidR="002B615E" w:rsidRPr="00DA007D" w:rsidRDefault="00D51209" w:rsidP="5342723C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Kvalitātes un atbilstības vadītājs</w:t>
            </w:r>
          </w:p>
        </w:tc>
      </w:tr>
      <w:tr w:rsidR="002B615E" w:rsidRPr="00DA007D" w14:paraId="5610A66C" w14:textId="77777777" w:rsidTr="5342723C">
        <w:trPr>
          <w:jc w:val="center"/>
        </w:trPr>
        <w:tc>
          <w:tcPr>
            <w:tcW w:w="4816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CB45C" w14:textId="77777777" w:rsidR="002B615E" w:rsidRPr="00DA007D" w:rsidRDefault="00D51209" w:rsidP="5342723C">
            <w:pPr>
              <w:spacing w:after="80"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b/>
                <w:bCs/>
                <w:color w:val="365F91"/>
                <w:sz w:val="20"/>
                <w:szCs w:val="20"/>
                <w:lang w:val="lv-LV"/>
              </w:rPr>
              <w:t>Paraksts</w:t>
            </w:r>
          </w:p>
        </w:tc>
        <w:tc>
          <w:tcPr>
            <w:tcW w:w="481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02CBA" w14:textId="2B8E51BE" w:rsidR="002B615E" w:rsidRPr="00DA007D" w:rsidRDefault="00DE78C0" w:rsidP="5342723C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  <w:lang w:val="lv-LV"/>
              </w:rPr>
            </w:pPr>
            <w:r w:rsidRPr="00DA007D">
              <w:rPr>
                <w:rFonts w:ascii="Aptos" w:eastAsia="Aptos" w:hAnsi="Aptos" w:cs="Aptos"/>
                <w:sz w:val="20"/>
                <w:szCs w:val="20"/>
                <w:lang w:val="lv-LV"/>
              </w:rPr>
              <w:t>__________________________________</w:t>
            </w:r>
          </w:p>
        </w:tc>
      </w:tr>
    </w:tbl>
    <w:p w14:paraId="57CD68AE" w14:textId="77777777" w:rsidR="00D51209" w:rsidRPr="00FC55C6" w:rsidRDefault="00D51209" w:rsidP="5342723C">
      <w:pPr>
        <w:rPr>
          <w:rFonts w:ascii="Aptos" w:eastAsia="Aptos" w:hAnsi="Aptos" w:cs="Aptos"/>
          <w:lang w:val="lv-LV"/>
        </w:rPr>
      </w:pPr>
    </w:p>
    <w:sectPr w:rsidR="00D51209" w:rsidRPr="00FC55C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5954C" w14:textId="77777777" w:rsidR="00174436" w:rsidRDefault="00174436">
      <w:pPr>
        <w:spacing w:after="0" w:line="240" w:lineRule="auto"/>
      </w:pPr>
      <w:r>
        <w:separator/>
      </w:r>
    </w:p>
  </w:endnote>
  <w:endnote w:type="continuationSeparator" w:id="0">
    <w:p w14:paraId="72BB7C2B" w14:textId="77777777" w:rsidR="00174436" w:rsidRDefault="0017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93D9C" w14:textId="77777777" w:rsidR="00DE78C0" w:rsidRDefault="00DE78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5F1A" w14:textId="77777777" w:rsidR="002B615E" w:rsidRDefault="00D51209">
    <w:pPr>
      <w:pStyle w:val="Footer"/>
      <w:jc w:val="center"/>
    </w:pPr>
    <w:r>
      <w:rPr>
        <w:color w:val="646464"/>
        <w:sz w:val="16"/>
      </w:rPr>
      <w:t xml:space="preserve">ES </w:t>
    </w:r>
    <w:proofErr w:type="spellStart"/>
    <w:r>
      <w:rPr>
        <w:color w:val="646464"/>
        <w:sz w:val="16"/>
      </w:rPr>
      <w:t>atbilstības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deklarācijas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aizpildīts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paraugs</w:t>
    </w:r>
    <w:proofErr w:type="spellEnd"/>
    <w:r>
      <w:rPr>
        <w:color w:val="646464"/>
        <w:sz w:val="16"/>
      </w:rPr>
      <w:t xml:space="preserve"> | Maizes </w:t>
    </w:r>
    <w:proofErr w:type="spellStart"/>
    <w:r>
      <w:rPr>
        <w:color w:val="646464"/>
        <w:sz w:val="16"/>
      </w:rPr>
      <w:t>iepakojuma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maisiņš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0038" w14:textId="77777777" w:rsidR="00DE78C0" w:rsidRDefault="00DE78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664FF" w14:textId="77777777" w:rsidR="00174436" w:rsidRDefault="00174436">
      <w:pPr>
        <w:spacing w:after="0" w:line="240" w:lineRule="auto"/>
      </w:pPr>
      <w:r>
        <w:separator/>
      </w:r>
    </w:p>
  </w:footnote>
  <w:footnote w:type="continuationSeparator" w:id="0">
    <w:p w14:paraId="4D2FB34F" w14:textId="77777777" w:rsidR="00174436" w:rsidRDefault="0017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70DD" w14:textId="77777777" w:rsidR="00DE78C0" w:rsidRDefault="00DE78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0690679"/>
      <w:docPartObj>
        <w:docPartGallery w:val="Watermarks"/>
        <w:docPartUnique/>
      </w:docPartObj>
    </w:sdtPr>
    <w:sdtContent>
      <w:p w14:paraId="334810F4" w14:textId="2A22DA0A" w:rsidR="00DE78C0" w:rsidRDefault="00000000">
        <w:pPr>
          <w:pStyle w:val="Header"/>
        </w:pPr>
        <w:r>
          <w:pict w14:anchorId="747E383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ARAUGS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E163C" w14:textId="77777777" w:rsidR="00DE78C0" w:rsidRDefault="00DE78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14A672C"/>
    <w:multiLevelType w:val="multilevel"/>
    <w:tmpl w:val="ABFA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111670">
    <w:abstractNumId w:val="8"/>
  </w:num>
  <w:num w:numId="2" w16cid:durableId="1947300199">
    <w:abstractNumId w:val="6"/>
  </w:num>
  <w:num w:numId="3" w16cid:durableId="2057659658">
    <w:abstractNumId w:val="5"/>
  </w:num>
  <w:num w:numId="4" w16cid:durableId="701711364">
    <w:abstractNumId w:val="4"/>
  </w:num>
  <w:num w:numId="5" w16cid:durableId="913859395">
    <w:abstractNumId w:val="7"/>
  </w:num>
  <w:num w:numId="6" w16cid:durableId="1993899164">
    <w:abstractNumId w:val="3"/>
  </w:num>
  <w:num w:numId="7" w16cid:durableId="990868601">
    <w:abstractNumId w:val="2"/>
  </w:num>
  <w:num w:numId="8" w16cid:durableId="250313946">
    <w:abstractNumId w:val="1"/>
  </w:num>
  <w:num w:numId="9" w16cid:durableId="160505815">
    <w:abstractNumId w:val="0"/>
  </w:num>
  <w:num w:numId="10" w16cid:durableId="2147352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436"/>
    <w:rsid w:val="0029639D"/>
    <w:rsid w:val="002B615E"/>
    <w:rsid w:val="00326F90"/>
    <w:rsid w:val="00330D4C"/>
    <w:rsid w:val="00476087"/>
    <w:rsid w:val="00925F2D"/>
    <w:rsid w:val="009B18BC"/>
    <w:rsid w:val="00AA1D8D"/>
    <w:rsid w:val="00B47730"/>
    <w:rsid w:val="00CB0664"/>
    <w:rsid w:val="00D51209"/>
    <w:rsid w:val="00DA007D"/>
    <w:rsid w:val="00DE78C0"/>
    <w:rsid w:val="00FC55C6"/>
    <w:rsid w:val="00FC693F"/>
    <w:rsid w:val="4E47A805"/>
    <w:rsid w:val="5342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86871F"/>
  <w14:defaultImageDpi w14:val="300"/>
  <w15:docId w15:val="{DEB4B923-C3BC-42D9-B8E0-7D2BC481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5C6"/>
  </w:style>
  <w:style w:type="paragraph" w:styleId="Heading1">
    <w:name w:val="heading 1"/>
    <w:basedOn w:val="Normal"/>
    <w:next w:val="Normal"/>
    <w:link w:val="Heading1Char"/>
    <w:uiPriority w:val="9"/>
    <w:qFormat/>
    <w:rsid w:val="00FC55C6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5C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55C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5C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5C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5C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5C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5C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5C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55C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55C6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C55C6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C55C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C55C6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FC55C6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5C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FC55C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55C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55C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5C6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5C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5C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5C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5C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5C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55C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55C6"/>
    <w:rPr>
      <w:b/>
      <w:bCs/>
    </w:rPr>
  </w:style>
  <w:style w:type="character" w:styleId="Emphasis">
    <w:name w:val="Emphasis"/>
    <w:basedOn w:val="DefaultParagraphFont"/>
    <w:uiPriority w:val="20"/>
    <w:qFormat/>
    <w:rsid w:val="00FC55C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5C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5C6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C55C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C55C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C55C6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FC55C6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FC55C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55C6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417A84" w:themeColor="accent5" w:themeShade="BF"/>
    </w:rPr>
    <w:tblPr>
      <w:tblStyleRowBandSize w:val="1"/>
      <w:tblStyleColBandSize w:val="1"/>
      <w:tblBorders>
        <w:top w:val="single" w:sz="8" w:space="0" w:color="5AA2AE" w:themeColor="accent5"/>
        <w:bottom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2AE" w:themeColor="accent5"/>
          <w:left w:val="nil"/>
          <w:bottom w:val="single" w:sz="8" w:space="0" w:color="5AA2A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2AE" w:themeColor="accent5"/>
          <w:left w:val="nil"/>
          <w:bottom w:val="single" w:sz="8" w:space="0" w:color="5AA2A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77697A" w:themeColor="accent6" w:themeShade="BF"/>
    </w:rPr>
    <w:tblPr>
      <w:tblStyleRowBandSize w:val="1"/>
      <w:tblStyleColBandSize w:val="1"/>
      <w:tblBorders>
        <w:top w:val="single" w:sz="8" w:space="0" w:color="9D90A0" w:themeColor="accent6"/>
        <w:bottom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 w:themeColor="accent6"/>
          <w:left w:val="nil"/>
          <w:bottom w:val="single" w:sz="8" w:space="0" w:color="9D90A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 w:themeColor="accent6"/>
          <w:left w:val="nil"/>
          <w:bottom w:val="single" w:sz="8" w:space="0" w:color="9D90A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band1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band1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band1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band1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1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  <w:shd w:val="clear" w:color="auto" w:fill="D1D8EB" w:themeFill="accent1" w:themeFillTint="3F"/>
      </w:tcPr>
    </w:tblStylePr>
    <w:tblStylePr w:type="band2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1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  <w:shd w:val="clear" w:color="auto" w:fill="D8E6F3" w:themeFill="accent2" w:themeFillTint="3F"/>
      </w:tcPr>
    </w:tblStylePr>
    <w:tblStylePr w:type="band2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  <w:insideH w:val="single" w:sz="8" w:space="0" w:color="297FD5" w:themeColor="accent3"/>
        <w:insideV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18" w:space="0" w:color="297FD5" w:themeColor="accent3"/>
          <w:right w:val="single" w:sz="8" w:space="0" w:color="297FD5" w:themeColor="accent3"/>
          <w:insideH w:val="nil"/>
          <w:insideV w:val="single" w:sz="8" w:space="0" w:color="297FD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H w:val="nil"/>
          <w:insideV w:val="single" w:sz="8" w:space="0" w:color="297FD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band1Vert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  <w:shd w:val="clear" w:color="auto" w:fill="C9DFF4" w:themeFill="accent3" w:themeFillTint="3F"/>
      </w:tcPr>
    </w:tblStylePr>
    <w:tblStylePr w:type="band1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V w:val="single" w:sz="8" w:space="0" w:color="297FD5" w:themeColor="accent3"/>
        </w:tcBorders>
        <w:shd w:val="clear" w:color="auto" w:fill="C9DFF4" w:themeFill="accent3" w:themeFillTint="3F"/>
      </w:tcPr>
    </w:tblStylePr>
    <w:tblStylePr w:type="band2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V w:val="single" w:sz="8" w:space="0" w:color="297FD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  <w:insideH w:val="single" w:sz="8" w:space="0" w:color="7F8FA9" w:themeColor="accent4"/>
        <w:insideV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18" w:space="0" w:color="7F8FA9" w:themeColor="accent4"/>
          <w:right w:val="single" w:sz="8" w:space="0" w:color="7F8FA9" w:themeColor="accent4"/>
          <w:insideH w:val="nil"/>
          <w:insideV w:val="single" w:sz="8" w:space="0" w:color="7F8FA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H w:val="nil"/>
          <w:insideV w:val="single" w:sz="8" w:space="0" w:color="7F8FA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band1Vert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  <w:shd w:val="clear" w:color="auto" w:fill="DFE3E9" w:themeFill="accent4" w:themeFillTint="3F"/>
      </w:tcPr>
    </w:tblStylePr>
    <w:tblStylePr w:type="band1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V w:val="single" w:sz="8" w:space="0" w:color="7F8FA9" w:themeColor="accent4"/>
        </w:tcBorders>
        <w:shd w:val="clear" w:color="auto" w:fill="DFE3E9" w:themeFill="accent4" w:themeFillTint="3F"/>
      </w:tcPr>
    </w:tblStylePr>
    <w:tblStylePr w:type="band2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V w:val="single" w:sz="8" w:space="0" w:color="7F8FA9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  <w:insideH w:val="single" w:sz="8" w:space="0" w:color="5AA2AE" w:themeColor="accent5"/>
        <w:insideV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18" w:space="0" w:color="5AA2AE" w:themeColor="accent5"/>
          <w:right w:val="single" w:sz="8" w:space="0" w:color="5AA2AE" w:themeColor="accent5"/>
          <w:insideH w:val="nil"/>
          <w:insideV w:val="single" w:sz="8" w:space="0" w:color="5AA2A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H w:val="nil"/>
          <w:insideV w:val="single" w:sz="8" w:space="0" w:color="5AA2A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band1Vert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  <w:shd w:val="clear" w:color="auto" w:fill="D6E7EB" w:themeFill="accent5" w:themeFillTint="3F"/>
      </w:tcPr>
    </w:tblStylePr>
    <w:tblStylePr w:type="band1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V w:val="single" w:sz="8" w:space="0" w:color="5AA2AE" w:themeColor="accent5"/>
        </w:tcBorders>
        <w:shd w:val="clear" w:color="auto" w:fill="D6E7EB" w:themeFill="accent5" w:themeFillTint="3F"/>
      </w:tcPr>
    </w:tblStylePr>
    <w:tblStylePr w:type="band2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V w:val="single" w:sz="8" w:space="0" w:color="5AA2AE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  <w:insideH w:val="single" w:sz="8" w:space="0" w:color="9D90A0" w:themeColor="accent6"/>
        <w:insideV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18" w:space="0" w:color="9D90A0" w:themeColor="accent6"/>
          <w:right w:val="single" w:sz="8" w:space="0" w:color="9D90A0" w:themeColor="accent6"/>
          <w:insideH w:val="nil"/>
          <w:insideV w:val="single" w:sz="8" w:space="0" w:color="9D90A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H w:val="nil"/>
          <w:insideV w:val="single" w:sz="8" w:space="0" w:color="9D90A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band1Vert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  <w:shd w:val="clear" w:color="auto" w:fill="E6E3E7" w:themeFill="accent6" w:themeFillTint="3F"/>
      </w:tcPr>
    </w:tblStylePr>
    <w:tblStylePr w:type="band1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V w:val="single" w:sz="8" w:space="0" w:color="9D90A0" w:themeColor="accent6"/>
        </w:tcBorders>
        <w:shd w:val="clear" w:color="auto" w:fill="E6E3E7" w:themeFill="accent6" w:themeFillTint="3F"/>
      </w:tcPr>
    </w:tblStylePr>
    <w:tblStylePr w:type="band2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V w:val="single" w:sz="8" w:space="0" w:color="9D90A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48AC3" w:themeColor="accent1" w:themeTint="BF"/>
        <w:left w:val="single" w:sz="8" w:space="0" w:color="748AC3" w:themeColor="accent1" w:themeTint="BF"/>
        <w:bottom w:val="single" w:sz="8" w:space="0" w:color="748AC3" w:themeColor="accent1" w:themeTint="BF"/>
        <w:right w:val="single" w:sz="8" w:space="0" w:color="748AC3" w:themeColor="accent1" w:themeTint="BF"/>
        <w:insideH w:val="single" w:sz="8" w:space="0" w:color="748AC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48AC3" w:themeColor="accent1" w:themeTint="BF"/>
          <w:left w:val="single" w:sz="8" w:space="0" w:color="748AC3" w:themeColor="accent1" w:themeTint="BF"/>
          <w:bottom w:val="single" w:sz="8" w:space="0" w:color="748AC3" w:themeColor="accent1" w:themeTint="BF"/>
          <w:right w:val="single" w:sz="8" w:space="0" w:color="748AC3" w:themeColor="accent1" w:themeTint="BF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8AC3" w:themeColor="accent1" w:themeTint="BF"/>
          <w:left w:val="single" w:sz="8" w:space="0" w:color="748AC3" w:themeColor="accent1" w:themeTint="BF"/>
          <w:bottom w:val="single" w:sz="8" w:space="0" w:color="748AC3" w:themeColor="accent1" w:themeTint="BF"/>
          <w:right w:val="single" w:sz="8" w:space="0" w:color="748AC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8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6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D9EE0" w:themeColor="accent3" w:themeTint="BF"/>
        <w:left w:val="single" w:sz="8" w:space="0" w:color="5D9EE0" w:themeColor="accent3" w:themeTint="BF"/>
        <w:bottom w:val="single" w:sz="8" w:space="0" w:color="5D9EE0" w:themeColor="accent3" w:themeTint="BF"/>
        <w:right w:val="single" w:sz="8" w:space="0" w:color="5D9EE0" w:themeColor="accent3" w:themeTint="BF"/>
        <w:insideH w:val="single" w:sz="8" w:space="0" w:color="5D9EE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9EE0" w:themeColor="accent3" w:themeTint="BF"/>
          <w:left w:val="single" w:sz="8" w:space="0" w:color="5D9EE0" w:themeColor="accent3" w:themeTint="BF"/>
          <w:bottom w:val="single" w:sz="8" w:space="0" w:color="5D9EE0" w:themeColor="accent3" w:themeTint="BF"/>
          <w:right w:val="single" w:sz="8" w:space="0" w:color="5D9EE0" w:themeColor="accent3" w:themeTint="BF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9EE0" w:themeColor="accent3" w:themeTint="BF"/>
          <w:left w:val="single" w:sz="8" w:space="0" w:color="5D9EE0" w:themeColor="accent3" w:themeTint="BF"/>
          <w:bottom w:val="single" w:sz="8" w:space="0" w:color="5D9EE0" w:themeColor="accent3" w:themeTint="BF"/>
          <w:right w:val="single" w:sz="8" w:space="0" w:color="5D9EE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FF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DFF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ABBE" w:themeColor="accent4" w:themeTint="BF"/>
        <w:left w:val="single" w:sz="8" w:space="0" w:color="9FABBE" w:themeColor="accent4" w:themeTint="BF"/>
        <w:bottom w:val="single" w:sz="8" w:space="0" w:color="9FABBE" w:themeColor="accent4" w:themeTint="BF"/>
        <w:right w:val="single" w:sz="8" w:space="0" w:color="9FABBE" w:themeColor="accent4" w:themeTint="BF"/>
        <w:insideH w:val="single" w:sz="8" w:space="0" w:color="9FABB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ABBE" w:themeColor="accent4" w:themeTint="BF"/>
          <w:left w:val="single" w:sz="8" w:space="0" w:color="9FABBE" w:themeColor="accent4" w:themeTint="BF"/>
          <w:bottom w:val="single" w:sz="8" w:space="0" w:color="9FABBE" w:themeColor="accent4" w:themeTint="BF"/>
          <w:right w:val="single" w:sz="8" w:space="0" w:color="9FABBE" w:themeColor="accent4" w:themeTint="BF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ABBE" w:themeColor="accent4" w:themeTint="BF"/>
          <w:left w:val="single" w:sz="8" w:space="0" w:color="9FABBE" w:themeColor="accent4" w:themeTint="BF"/>
          <w:bottom w:val="single" w:sz="8" w:space="0" w:color="9FABBE" w:themeColor="accent4" w:themeTint="BF"/>
          <w:right w:val="single" w:sz="8" w:space="0" w:color="9FABB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7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5ABB7" w:themeColor="accent6" w:themeTint="BF"/>
        <w:left w:val="single" w:sz="8" w:space="0" w:color="B5ABB7" w:themeColor="accent6" w:themeTint="BF"/>
        <w:bottom w:val="single" w:sz="8" w:space="0" w:color="B5ABB7" w:themeColor="accent6" w:themeTint="BF"/>
        <w:right w:val="single" w:sz="8" w:space="0" w:color="B5ABB7" w:themeColor="accent6" w:themeTint="BF"/>
        <w:insideH w:val="single" w:sz="8" w:space="0" w:color="B5AB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BB7" w:themeColor="accent6" w:themeTint="BF"/>
          <w:left w:val="single" w:sz="8" w:space="0" w:color="B5ABB7" w:themeColor="accent6" w:themeTint="BF"/>
          <w:bottom w:val="single" w:sz="8" w:space="0" w:color="B5ABB7" w:themeColor="accent6" w:themeTint="BF"/>
          <w:right w:val="single" w:sz="8" w:space="0" w:color="B5ABB7" w:themeColor="accent6" w:themeTint="BF"/>
          <w:insideH w:val="nil"/>
          <w:insideV w:val="nil"/>
        </w:tcBorders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BB7" w:themeColor="accent6" w:themeTint="BF"/>
          <w:left w:val="single" w:sz="8" w:space="0" w:color="B5ABB7" w:themeColor="accent6" w:themeTint="BF"/>
          <w:bottom w:val="single" w:sz="8" w:space="0" w:color="B5ABB7" w:themeColor="accent6" w:themeTint="BF"/>
          <w:right w:val="single" w:sz="8" w:space="0" w:color="B5AB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3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3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66AC" w:themeColor="accent1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4A66AC" w:themeColor="accent1"/>
          <w:bottom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66AC" w:themeColor="accent1"/>
          <w:bottom w:val="single" w:sz="8" w:space="0" w:color="4A66AC" w:themeColor="accent1"/>
        </w:tcBorders>
      </w:tcPr>
    </w:tblStylePr>
    <w:tblStylePr w:type="band1Vert">
      <w:tblPr/>
      <w:tcPr>
        <w:shd w:val="clear" w:color="auto" w:fill="D1D8EB" w:themeFill="accent1" w:themeFillTint="3F"/>
      </w:tcPr>
    </w:tblStylePr>
    <w:tblStylePr w:type="band1Horz">
      <w:tblPr/>
      <w:tcPr>
        <w:shd w:val="clear" w:color="auto" w:fill="D1D8EB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9DD1" w:themeColor="accent2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629DD1" w:themeColor="accent2"/>
          <w:bottom w:val="single" w:sz="8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9DD1" w:themeColor="accent2"/>
          <w:bottom w:val="single" w:sz="8" w:space="0" w:color="629DD1" w:themeColor="accent2"/>
        </w:tcBorders>
      </w:tc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shd w:val="clear" w:color="auto" w:fill="D8E6F3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97FD5" w:themeColor="accent3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297FD5" w:themeColor="accent3"/>
          <w:bottom w:val="single" w:sz="8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97FD5" w:themeColor="accent3"/>
          <w:bottom w:val="single" w:sz="8" w:space="0" w:color="297FD5" w:themeColor="accent3"/>
        </w:tcBorders>
      </w:tcPr>
    </w:tblStylePr>
    <w:tblStylePr w:type="band1Vert">
      <w:tblPr/>
      <w:tcPr>
        <w:shd w:val="clear" w:color="auto" w:fill="C9DFF4" w:themeFill="accent3" w:themeFillTint="3F"/>
      </w:tcPr>
    </w:tblStylePr>
    <w:tblStylePr w:type="band1Horz">
      <w:tblPr/>
      <w:tcPr>
        <w:shd w:val="clear" w:color="auto" w:fill="C9DFF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8FA9" w:themeColor="accent4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7F8FA9" w:themeColor="accent4"/>
          <w:bottom w:val="single" w:sz="8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8FA9" w:themeColor="accent4"/>
          <w:bottom w:val="single" w:sz="8" w:space="0" w:color="7F8FA9" w:themeColor="accent4"/>
        </w:tcBorders>
      </w:tcPr>
    </w:tblStylePr>
    <w:tblStylePr w:type="band1Vert">
      <w:tblPr/>
      <w:tcPr>
        <w:shd w:val="clear" w:color="auto" w:fill="DFE3E9" w:themeFill="accent4" w:themeFillTint="3F"/>
      </w:tcPr>
    </w:tblStylePr>
    <w:tblStylePr w:type="band1Horz">
      <w:tblPr/>
      <w:tcPr>
        <w:shd w:val="clear" w:color="auto" w:fill="DFE3E9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bottom w:val="single" w:sz="8" w:space="0" w:color="5AA2A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A2AE" w:themeColor="accent5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5AA2AE" w:themeColor="accent5"/>
          <w:bottom w:val="single" w:sz="8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A2AE" w:themeColor="accent5"/>
          <w:bottom w:val="single" w:sz="8" w:space="0" w:color="5AA2AE" w:themeColor="accent5"/>
        </w:tcBorders>
      </w:tc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shd w:val="clear" w:color="auto" w:fill="D6E7EB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bottom w:val="single" w:sz="8" w:space="0" w:color="9D90A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0A0" w:themeColor="accent6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9D90A0" w:themeColor="accent6"/>
          <w:bottom w:val="single" w:sz="8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0A0" w:themeColor="accent6"/>
          <w:bottom w:val="single" w:sz="8" w:space="0" w:color="9D90A0" w:themeColor="accent6"/>
        </w:tcBorders>
      </w:tcPr>
    </w:tblStylePr>
    <w:tblStylePr w:type="band1Vert">
      <w:tblPr/>
      <w:tcPr>
        <w:shd w:val="clear" w:color="auto" w:fill="E6E3E7" w:themeFill="accent6" w:themeFillTint="3F"/>
      </w:tcPr>
    </w:tblStylePr>
    <w:tblStylePr w:type="band1Horz">
      <w:tblPr/>
      <w:tcPr>
        <w:shd w:val="clear" w:color="auto" w:fill="E6E3E7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66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A66A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66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66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8E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29DD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9DD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9DD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6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7FD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97FD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7FD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7FD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DFF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8FA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8FA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8FA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8FA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A2A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AA2A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A2A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A2A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7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90A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0A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0A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3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48AC3" w:themeColor="accent1" w:themeTint="BF"/>
        <w:left w:val="single" w:sz="8" w:space="0" w:color="748AC3" w:themeColor="accent1" w:themeTint="BF"/>
        <w:bottom w:val="single" w:sz="8" w:space="0" w:color="748AC3" w:themeColor="accent1" w:themeTint="BF"/>
        <w:right w:val="single" w:sz="8" w:space="0" w:color="748AC3" w:themeColor="accent1" w:themeTint="BF"/>
        <w:insideH w:val="single" w:sz="8" w:space="0" w:color="748AC3" w:themeColor="accent1" w:themeTint="BF"/>
        <w:insideV w:val="single" w:sz="8" w:space="0" w:color="748AC3" w:themeColor="accent1" w:themeTint="BF"/>
      </w:tblBorders>
    </w:tblPr>
    <w:tcPr>
      <w:shd w:val="clear" w:color="auto" w:fill="D1D8E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8AC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shd w:val="clear" w:color="auto" w:fill="A2B1D7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  <w:insideV w:val="single" w:sz="8" w:space="0" w:color="89B5DC" w:themeColor="accent2" w:themeTint="BF"/>
      </w:tblBorders>
    </w:tblPr>
    <w:tcPr>
      <w:shd w:val="clear" w:color="auto" w:fill="D8E6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5D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shd w:val="clear" w:color="auto" w:fill="B0CDE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D9EE0" w:themeColor="accent3" w:themeTint="BF"/>
        <w:left w:val="single" w:sz="8" w:space="0" w:color="5D9EE0" w:themeColor="accent3" w:themeTint="BF"/>
        <w:bottom w:val="single" w:sz="8" w:space="0" w:color="5D9EE0" w:themeColor="accent3" w:themeTint="BF"/>
        <w:right w:val="single" w:sz="8" w:space="0" w:color="5D9EE0" w:themeColor="accent3" w:themeTint="BF"/>
        <w:insideH w:val="single" w:sz="8" w:space="0" w:color="5D9EE0" w:themeColor="accent3" w:themeTint="BF"/>
        <w:insideV w:val="single" w:sz="8" w:space="0" w:color="5D9EE0" w:themeColor="accent3" w:themeTint="BF"/>
      </w:tblBorders>
    </w:tblPr>
    <w:tcPr>
      <w:shd w:val="clear" w:color="auto" w:fill="C9DFF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9EE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ABBE" w:themeColor="accent4" w:themeTint="BF"/>
        <w:left w:val="single" w:sz="8" w:space="0" w:color="9FABBE" w:themeColor="accent4" w:themeTint="BF"/>
        <w:bottom w:val="single" w:sz="8" w:space="0" w:color="9FABBE" w:themeColor="accent4" w:themeTint="BF"/>
        <w:right w:val="single" w:sz="8" w:space="0" w:color="9FABBE" w:themeColor="accent4" w:themeTint="BF"/>
        <w:insideH w:val="single" w:sz="8" w:space="0" w:color="9FABBE" w:themeColor="accent4" w:themeTint="BF"/>
        <w:insideV w:val="single" w:sz="8" w:space="0" w:color="9FABBE" w:themeColor="accent4" w:themeTint="BF"/>
      </w:tblBorders>
    </w:tblPr>
    <w:tcPr>
      <w:shd w:val="clear" w:color="auto" w:fill="DF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ABB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shd w:val="clear" w:color="auto" w:fill="BFC7D4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  <w:insideV w:val="single" w:sz="8" w:space="0" w:color="83B9C2" w:themeColor="accent5" w:themeTint="BF"/>
      </w:tblBorders>
    </w:tblPr>
    <w:tcPr>
      <w:shd w:val="clear" w:color="auto" w:fill="D6E7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9C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5ABB7" w:themeColor="accent6" w:themeTint="BF"/>
        <w:left w:val="single" w:sz="8" w:space="0" w:color="B5ABB7" w:themeColor="accent6" w:themeTint="BF"/>
        <w:bottom w:val="single" w:sz="8" w:space="0" w:color="B5ABB7" w:themeColor="accent6" w:themeTint="BF"/>
        <w:right w:val="single" w:sz="8" w:space="0" w:color="B5ABB7" w:themeColor="accent6" w:themeTint="BF"/>
        <w:insideH w:val="single" w:sz="8" w:space="0" w:color="B5ABB7" w:themeColor="accent6" w:themeTint="BF"/>
        <w:insideV w:val="single" w:sz="8" w:space="0" w:color="B5ABB7" w:themeColor="accent6" w:themeTint="BF"/>
      </w:tblBorders>
    </w:tblPr>
    <w:tcPr>
      <w:shd w:val="clear" w:color="auto" w:fill="E6E3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B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cPr>
      <w:shd w:val="clear" w:color="auto" w:fill="D1D8E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EF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FEF" w:themeFill="accent1" w:themeFillTint="33"/>
      </w:tc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tcBorders>
          <w:insideH w:val="single" w:sz="6" w:space="0" w:color="4A66AC" w:themeColor="accent1"/>
          <w:insideV w:val="single" w:sz="6" w:space="0" w:color="4A66AC" w:themeColor="accent1"/>
        </w:tcBorders>
        <w:shd w:val="clear" w:color="auto" w:fill="A2B1D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cPr>
      <w:shd w:val="clear" w:color="auto" w:fill="D8E6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BF5" w:themeFill="accent2" w:themeFillTint="33"/>
      </w:tc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tcBorders>
          <w:insideH w:val="single" w:sz="6" w:space="0" w:color="629DD1" w:themeColor="accent2"/>
          <w:insideV w:val="single" w:sz="6" w:space="0" w:color="629DD1" w:themeColor="accent2"/>
        </w:tcBorders>
        <w:shd w:val="clear" w:color="auto" w:fill="B0CDE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  <w:insideH w:val="single" w:sz="8" w:space="0" w:color="297FD5" w:themeColor="accent3"/>
        <w:insideV w:val="single" w:sz="8" w:space="0" w:color="297FD5" w:themeColor="accent3"/>
      </w:tblBorders>
    </w:tblPr>
    <w:tcPr>
      <w:shd w:val="clear" w:color="auto" w:fill="C9DFF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2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5F6" w:themeFill="accent3" w:themeFillTint="33"/>
      </w:tc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tcBorders>
          <w:insideH w:val="single" w:sz="6" w:space="0" w:color="297FD5" w:themeColor="accent3"/>
          <w:insideV w:val="single" w:sz="6" w:space="0" w:color="297FD5" w:themeColor="accent3"/>
        </w:tcBorders>
        <w:shd w:val="clear" w:color="auto" w:fill="93BEE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  <w:insideH w:val="single" w:sz="8" w:space="0" w:color="7F8FA9" w:themeColor="accent4"/>
        <w:insideV w:val="single" w:sz="8" w:space="0" w:color="7F8FA9" w:themeColor="accent4"/>
      </w:tblBorders>
    </w:tblPr>
    <w:tcPr>
      <w:shd w:val="clear" w:color="auto" w:fill="DF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3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8ED" w:themeFill="accent4" w:themeFillTint="33"/>
      </w:tc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tcBorders>
          <w:insideH w:val="single" w:sz="6" w:space="0" w:color="7F8FA9" w:themeColor="accent4"/>
          <w:insideV w:val="single" w:sz="6" w:space="0" w:color="7F8FA9" w:themeColor="accent4"/>
        </w:tcBorders>
        <w:shd w:val="clear" w:color="auto" w:fill="BFC7D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  <w:insideH w:val="single" w:sz="8" w:space="0" w:color="5AA2AE" w:themeColor="accent5"/>
        <w:insideV w:val="single" w:sz="8" w:space="0" w:color="5AA2AE" w:themeColor="accent5"/>
      </w:tblBorders>
    </w:tblPr>
    <w:tcPr>
      <w:shd w:val="clear" w:color="auto" w:fill="D6E7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CEE" w:themeFill="accent5" w:themeFillTint="33"/>
      </w:tc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tcBorders>
          <w:insideH w:val="single" w:sz="6" w:space="0" w:color="5AA2AE" w:themeColor="accent5"/>
          <w:insideV w:val="single" w:sz="6" w:space="0" w:color="5AA2AE" w:themeColor="accent5"/>
        </w:tcBorders>
        <w:shd w:val="clear" w:color="auto" w:fill="ACD0D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  <w:insideH w:val="single" w:sz="8" w:space="0" w:color="9D90A0" w:themeColor="accent6"/>
        <w:insideV w:val="single" w:sz="8" w:space="0" w:color="9D90A0" w:themeColor="accent6"/>
      </w:tblBorders>
    </w:tblPr>
    <w:tcPr>
      <w:shd w:val="clear" w:color="auto" w:fill="E6E3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8EC" w:themeFill="accent6" w:themeFillTint="33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tcBorders>
          <w:insideH w:val="single" w:sz="6" w:space="0" w:color="9D90A0" w:themeColor="accent6"/>
          <w:insideV w:val="single" w:sz="6" w:space="0" w:color="9D90A0" w:themeColor="accent6"/>
        </w:tcBorders>
        <w:shd w:val="clear" w:color="auto" w:fill="CEC7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8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66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66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B1D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B1D7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6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9DD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9DD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CD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CDE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DFF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7FD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7FD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BEE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BEE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8FA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8FA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7D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7D4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7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2A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2A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D0D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D0D6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3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0A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0A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0A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7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7CF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A66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2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4C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9DD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4E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76B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97FD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3E6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5E9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8FA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B465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9698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A2A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15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7A8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90A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55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97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F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3C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3C66" w:themeColor="accent1" w:themeShade="99"/>
          <w:insideV w:val="nil"/>
        </w:tcBorders>
        <w:shd w:val="clear" w:color="auto" w:fill="2C3C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C66" w:themeFill="accent1" w:themeFillShade="99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A2B1D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5E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5E8E" w:themeColor="accent2" w:themeShade="99"/>
          <w:insideV w:val="nil"/>
        </w:tcBorders>
        <w:shd w:val="clear" w:color="auto" w:fill="295E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E8E" w:themeFill="accent2" w:themeFillShade="99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B0CDE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8FA9" w:themeColor="accent4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2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8FA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4B7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4B7F" w:themeColor="accent3" w:themeShade="99"/>
          <w:insideV w:val="nil"/>
        </w:tcBorders>
        <w:shd w:val="clear" w:color="auto" w:fill="184B7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B7F" w:themeFill="accent3" w:themeFillShade="99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97FD5" w:themeColor="accent3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3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97FD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546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546A" w:themeColor="accent4" w:themeShade="99"/>
          <w:insideV w:val="nil"/>
        </w:tcBorders>
        <w:shd w:val="clear" w:color="auto" w:fill="47546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46A" w:themeFill="accent4" w:themeFillShade="99"/>
      </w:tcPr>
    </w:tblStylePr>
    <w:tblStylePr w:type="band1Vert">
      <w:tblPr/>
      <w:tcPr>
        <w:shd w:val="clear" w:color="auto" w:fill="CBD2DC" w:themeFill="accent4" w:themeFillTint="66"/>
      </w:tcPr>
    </w:tblStylePr>
    <w:tblStylePr w:type="band1Horz">
      <w:tblPr/>
      <w:tcPr>
        <w:shd w:val="clear" w:color="auto" w:fill="BFC7D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90A0" w:themeColor="accent6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626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626A" w:themeColor="accent5" w:themeShade="99"/>
          <w:insideV w:val="nil"/>
        </w:tcBorders>
        <w:shd w:val="clear" w:color="auto" w:fill="34626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626A" w:themeFill="accent5" w:themeFillShade="99"/>
      </w:tcPr>
    </w:tblStylePr>
    <w:tblStylePr w:type="band1Vert">
      <w:tblPr/>
      <w:tcPr>
        <w:shd w:val="clear" w:color="auto" w:fill="BCD9DE" w:themeFill="accent5" w:themeFillTint="66"/>
      </w:tcPr>
    </w:tblStylePr>
    <w:tblStylePr w:type="band1Horz">
      <w:tblPr/>
      <w:tcPr>
        <w:shd w:val="clear" w:color="auto" w:fill="ACD0D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AA2AE" w:themeColor="accent5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4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A2A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46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462" w:themeColor="accent6" w:themeShade="99"/>
          <w:insideV w:val="nil"/>
        </w:tcBorders>
        <w:shd w:val="clear" w:color="auto" w:fill="5F546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462" w:themeFill="accent6" w:themeFillShade="99"/>
      </w:tcPr>
    </w:tblStylePr>
    <w:tblStylePr w:type="band1Vert">
      <w:tblPr/>
      <w:tcPr>
        <w:shd w:val="clear" w:color="auto" w:fill="D7D2D9" w:themeFill="accent6" w:themeFillTint="66"/>
      </w:tcPr>
    </w:tblStylePr>
    <w:tblStylePr w:type="band1Horz">
      <w:tblPr/>
      <w:tcPr>
        <w:shd w:val="clear" w:color="auto" w:fill="CEC7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F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5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2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F708D" w:themeFill="accent4" w:themeFillShade="CC"/>
      </w:tcPr>
    </w:tblStylePr>
    <w:tblStylePr w:type="lastRow">
      <w:rPr>
        <w:b/>
        <w:bCs/>
        <w:color w:val="5F708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3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65AA" w:themeFill="accent3" w:themeFillShade="CC"/>
      </w:tcPr>
    </w:tblStylePr>
    <w:tblStylePr w:type="lastRow">
      <w:rPr>
        <w:b/>
        <w:bCs/>
        <w:color w:val="2065A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082" w:themeFill="accent6" w:themeFillShade="CC"/>
      </w:tcPr>
    </w:tblStylePr>
    <w:tblStylePr w:type="lastRow">
      <w:rPr>
        <w:b/>
        <w:bCs/>
        <w:color w:val="7F708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4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5828D" w:themeFill="accent5" w:themeFillShade="CC"/>
      </w:tcPr>
    </w:tblStylePr>
    <w:tblStylePr w:type="lastRow">
      <w:rPr>
        <w:b/>
        <w:bCs/>
        <w:color w:val="45828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</w:rPr>
      <w:tblPr/>
      <w:tcPr>
        <w:shd w:val="clear" w:color="auto" w:fill="B5C0D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0D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74C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74C80" w:themeFill="accent1" w:themeFillShade="BF"/>
      </w:tc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shd w:val="clear" w:color="auto" w:fill="A2B1D7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</w:rPr>
      <w:tblPr/>
      <w:tcPr>
        <w:shd w:val="clear" w:color="auto" w:fill="C0D7E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7E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476B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476B1" w:themeFill="accent2" w:themeFillShade="BF"/>
      </w:tc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shd w:val="clear" w:color="auto" w:fill="B0CDE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5F6" w:themeFill="accent3" w:themeFillTint="33"/>
    </w:tcPr>
    <w:tblStylePr w:type="firstRow">
      <w:rPr>
        <w:b/>
        <w:bCs/>
      </w:rPr>
      <w:tblPr/>
      <w:tcPr>
        <w:shd w:val="clear" w:color="auto" w:fill="A8CBE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CBE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5E9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5E9F" w:themeFill="accent3" w:themeFillShade="BF"/>
      </w:tc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8ED" w:themeFill="accent4" w:themeFillTint="33"/>
    </w:tcPr>
    <w:tblStylePr w:type="firstRow">
      <w:rPr>
        <w:b/>
        <w:bCs/>
      </w:rPr>
      <w:tblPr/>
      <w:tcPr>
        <w:shd w:val="clear" w:color="auto" w:fill="CBD2D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2D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9698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96984" w:themeFill="accent4" w:themeFillShade="BF"/>
      </w:tc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shd w:val="clear" w:color="auto" w:fill="BFC7D4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CEE" w:themeFill="accent5" w:themeFillTint="33"/>
    </w:tcPr>
    <w:tblStylePr w:type="firstRow">
      <w:rPr>
        <w:b/>
        <w:bCs/>
      </w:rPr>
      <w:tblPr/>
      <w:tcPr>
        <w:shd w:val="clear" w:color="auto" w:fill="BCD9D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D9D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17A8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17A84" w:themeFill="accent5" w:themeFillShade="BF"/>
      </w:tc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8EC" w:themeFill="accent6" w:themeFillTint="33"/>
    </w:tcPr>
    <w:tblStylePr w:type="firstRow">
      <w:rPr>
        <w:b/>
        <w:bCs/>
      </w:rPr>
      <w:tblPr/>
      <w:tcPr>
        <w:shd w:val="clear" w:color="auto" w:fill="D7D2D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2D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ilti zils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1771</Words>
  <Characters>1010</Characters>
  <Application>Microsoft Office Word</Application>
  <DocSecurity>0</DocSecurity>
  <Lines>8</Lines>
  <Paragraphs>5</Paragraphs>
  <ScaleCrop>false</ScaleCrop>
  <Manager/>
  <Company/>
  <LinksUpToDate>false</LinksUpToDate>
  <CharactersWithSpaces>2776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atbilstības deklarācijas paraugs maizes iepakojuma maisiņam</dc:title>
  <dc:subject>Ilustratīvs paraugs komersantiem</dc:subject>
  <dc:creator>Madara Buša</dc:creator>
  <cp:keywords/>
  <dc:description>generated by python-docx</dc:description>
  <cp:lastModifiedBy>Tatjana Alekse</cp:lastModifiedBy>
  <cp:revision>7</cp:revision>
  <dcterms:created xsi:type="dcterms:W3CDTF">2026-09-11T11:12:00Z</dcterms:created>
  <dcterms:modified xsi:type="dcterms:W3CDTF">2026-09-23T14:34:00Z</dcterms:modified>
  <cp:category/>
</cp:coreProperties>
</file>