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64560" w14:textId="77777777" w:rsidR="00DE6044" w:rsidRPr="00104616" w:rsidRDefault="00DE6044" w:rsidP="00436C11">
      <w:pPr>
        <w:rPr>
          <w:rFonts w:cs="Times New Roman"/>
          <w:szCs w:val="24"/>
        </w:rPr>
      </w:pPr>
    </w:p>
    <w:p w14:paraId="3E39FF1E" w14:textId="279E776E" w:rsidR="00C81091" w:rsidRPr="003330EE" w:rsidRDefault="003330EE" w:rsidP="00B86DFB">
      <w:pPr>
        <w:jc w:val="center"/>
        <w:rPr>
          <w:rFonts w:cs="Times New Roman"/>
          <w:b/>
          <w:szCs w:val="24"/>
        </w:rPr>
      </w:pPr>
      <w:r w:rsidRPr="003330EE">
        <w:rPr>
          <w:b/>
        </w:rPr>
        <w:t>Attiecināmās izmaksas veicamo</w:t>
      </w:r>
      <w:r w:rsidR="00420B12">
        <w:rPr>
          <w:b/>
        </w:rPr>
        <w:t xml:space="preserve"> deleģēto</w:t>
      </w:r>
      <w:r w:rsidRPr="003330EE">
        <w:rPr>
          <w:b/>
        </w:rPr>
        <w:t xml:space="preserve"> uzdevumu īstenošanai</w:t>
      </w:r>
    </w:p>
    <w:p w14:paraId="4D7D9A57" w14:textId="2896C459" w:rsidR="00420B12" w:rsidRPr="00420B12" w:rsidRDefault="00420B12" w:rsidP="00BC37A1">
      <w:pPr>
        <w:pStyle w:val="ListParagraph"/>
        <w:widowControl/>
        <w:numPr>
          <w:ilvl w:val="0"/>
          <w:numId w:val="1"/>
        </w:numPr>
        <w:autoSpaceDE/>
        <w:autoSpaceDN/>
        <w:adjustRightInd/>
        <w:spacing w:before="120"/>
        <w:ind w:left="284" w:right="45" w:hanging="284"/>
        <w:jc w:val="center"/>
        <w:rPr>
          <w:rFonts w:cs="Times New Roman"/>
          <w:b/>
          <w:bCs/>
          <w:szCs w:val="24"/>
        </w:rPr>
      </w:pPr>
      <w:r w:rsidRPr="00420B12">
        <w:rPr>
          <w:rFonts w:cs="Times New Roman"/>
          <w:b/>
          <w:bCs/>
          <w:szCs w:val="24"/>
        </w:rPr>
        <w:t>Tiešās izmaksas</w:t>
      </w:r>
    </w:p>
    <w:p w14:paraId="6850C5C5" w14:textId="6E428EB4" w:rsidR="00420B12" w:rsidRDefault="00420B12"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sidRPr="00420B12">
        <w:rPr>
          <w:rFonts w:cs="Times New Roman"/>
          <w:szCs w:val="24"/>
        </w:rPr>
        <w:t xml:space="preserve">Tiešās izmaksas ir izmaksas, kas tieši attiecināmas uz konkrēta </w:t>
      </w:r>
      <w:r>
        <w:rPr>
          <w:rFonts w:cs="Times New Roman"/>
          <w:szCs w:val="24"/>
        </w:rPr>
        <w:t>Fonda</w:t>
      </w:r>
      <w:r w:rsidRPr="00420B12">
        <w:rPr>
          <w:rFonts w:cs="Times New Roman"/>
          <w:szCs w:val="24"/>
        </w:rPr>
        <w:t xml:space="preserve"> sniegtā pakalpojuma nodrošināšanu</w:t>
      </w:r>
      <w:r>
        <w:rPr>
          <w:rFonts w:cs="Times New Roman"/>
          <w:szCs w:val="24"/>
        </w:rPr>
        <w:t>.</w:t>
      </w:r>
    </w:p>
    <w:p w14:paraId="0C410837" w14:textId="7509AE73" w:rsidR="00420B12" w:rsidRPr="00FC0E72" w:rsidRDefault="00420B12" w:rsidP="00524775">
      <w:pPr>
        <w:pStyle w:val="ListParagraph"/>
        <w:widowControl/>
        <w:numPr>
          <w:ilvl w:val="1"/>
          <w:numId w:val="1"/>
        </w:numPr>
        <w:autoSpaceDE/>
        <w:autoSpaceDN/>
        <w:adjustRightInd/>
        <w:spacing w:before="120"/>
        <w:ind w:right="45"/>
        <w:contextualSpacing w:val="0"/>
        <w:rPr>
          <w:rFonts w:cs="Times New Roman"/>
          <w:szCs w:val="24"/>
        </w:rPr>
      </w:pPr>
      <w:r w:rsidRPr="00FC0E72">
        <w:rPr>
          <w:szCs w:val="24"/>
        </w:rPr>
        <w:t xml:space="preserve">Fonda darbinieku vai uz uzņēmuma līguma pieaicināto fizisko personu atalgojums </w:t>
      </w:r>
      <w:r w:rsidRPr="00FC0E72">
        <w:rPr>
          <w:rFonts w:cs="Times New Roman"/>
          <w:szCs w:val="24"/>
        </w:rPr>
        <w:t>(darba alga, slimības nauda, ikgadējais atvaļinājums, piemaksas pie algas</w:t>
      </w:r>
      <w:r w:rsidR="00FC0E72" w:rsidRPr="00FC0E72">
        <w:rPr>
          <w:rFonts w:cs="Times New Roman"/>
          <w:szCs w:val="24"/>
        </w:rPr>
        <w:t>, pamatojoties uz</w:t>
      </w:r>
      <w:r w:rsidR="00FC0E72" w:rsidRPr="00FC0E72">
        <w:rPr>
          <w:rFonts w:cs="Times New Roman"/>
          <w:b/>
          <w:bCs/>
          <w:sz w:val="28"/>
          <w:szCs w:val="24"/>
          <w:lang w:eastAsia="en-US"/>
        </w:rPr>
        <w:t xml:space="preserve"> </w:t>
      </w:r>
      <w:r w:rsidR="00FC0E72" w:rsidRPr="00524775">
        <w:rPr>
          <w:rFonts w:cs="Times New Roman"/>
          <w:szCs w:val="24"/>
          <w:u w:val="single"/>
        </w:rPr>
        <w:t>Darbinieku samaksas noteikšanas kārtīb</w:t>
      </w:r>
      <w:r w:rsidR="00FC0E72" w:rsidRPr="00FC0E72">
        <w:rPr>
          <w:rFonts w:cs="Times New Roman"/>
          <w:szCs w:val="24"/>
          <w:u w:val="single"/>
        </w:rPr>
        <w:t>u</w:t>
      </w:r>
      <w:r w:rsidR="00FC0E72">
        <w:rPr>
          <w:rFonts w:cs="Times New Roman"/>
          <w:szCs w:val="24"/>
          <w:u w:val="single"/>
        </w:rPr>
        <w:t>,</w:t>
      </w:r>
      <w:r w:rsidR="00FC0E72" w:rsidRPr="00FC0E72">
        <w:rPr>
          <w:rFonts w:cs="Times New Roman"/>
          <w:szCs w:val="24"/>
        </w:rPr>
        <w:t xml:space="preserve"> kas apstiprināta</w:t>
      </w:r>
      <w:r w:rsidR="00FC0E72" w:rsidRPr="00FC0E72">
        <w:t xml:space="preserve"> </w:t>
      </w:r>
      <w:r w:rsidR="00FC0E72">
        <w:t xml:space="preserve">ar </w:t>
      </w:r>
      <w:r w:rsidR="00FC0E72" w:rsidRPr="00FC0E72">
        <w:rPr>
          <w:rFonts w:cs="Times New Roman"/>
          <w:szCs w:val="24"/>
        </w:rPr>
        <w:t xml:space="preserve">2013. gada 15. janvāra Valdes lēmumu Nr. 5/2013 </w:t>
      </w:r>
      <w:r w:rsidRPr="00FC0E72">
        <w:rPr>
          <w:rFonts w:cs="Times New Roman"/>
          <w:szCs w:val="24"/>
        </w:rPr>
        <w:t>, darba devēja veiktās sociālās apdrošināšanas iemaksas)</w:t>
      </w:r>
      <w:r w:rsidRPr="00FC0E72">
        <w:rPr>
          <w:szCs w:val="24"/>
        </w:rPr>
        <w:t>, kas tieši attiecināms uz Fonda sniegtā</w:t>
      </w:r>
      <w:r w:rsidR="007C790D" w:rsidRPr="00FC0E72">
        <w:rPr>
          <w:szCs w:val="24"/>
        </w:rPr>
        <w:t xml:space="preserve"> deleģētā uzdevuma</w:t>
      </w:r>
      <w:r w:rsidRPr="00FC0E72">
        <w:rPr>
          <w:szCs w:val="24"/>
        </w:rPr>
        <w:t xml:space="preserve"> nodrošināšanu, uzskatāms par pakalpojuma tiešajām izmaksām. Plānojot darba laika sadalījumu kārtējam budžeta gadam, plānotās darba stundas tiek sadalītas plānotajam pakalpojumu sniegšanas veidam un apjomam. Tādējādi ir iespējams novērtēt, cik daudz laika un naudas resursu ir plānots veltīt katra pakalpojuma nodrošināšanai.</w:t>
      </w:r>
    </w:p>
    <w:p w14:paraId="63D05C02" w14:textId="30458EED" w:rsidR="00420B12" w:rsidRDefault="00420B12"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sidRPr="00420B12">
        <w:rPr>
          <w:rFonts w:cs="Times New Roman"/>
          <w:szCs w:val="24"/>
        </w:rPr>
        <w:t xml:space="preserve">Veicot faktisko darba laika uzskaiti, katra </w:t>
      </w:r>
      <w:r>
        <w:rPr>
          <w:rFonts w:cs="Times New Roman"/>
          <w:szCs w:val="24"/>
        </w:rPr>
        <w:t>Fonda</w:t>
      </w:r>
      <w:r w:rsidRPr="00420B12">
        <w:rPr>
          <w:rFonts w:cs="Times New Roman"/>
          <w:szCs w:val="24"/>
        </w:rPr>
        <w:t xml:space="preserve"> darbinieka faktiski nostrādātais darba laiks tiek atspoguļots darba laika uzskaites sistēmā, norādot precīzu laiku, kādu darbinieks ir patērējis konkrētu pakalpojumu nodrošināšanai.</w:t>
      </w:r>
    </w:p>
    <w:p w14:paraId="740012B8" w14:textId="15C7C68D" w:rsidR="00420B12" w:rsidRPr="00420B12" w:rsidRDefault="00420B12"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sidRPr="00420B12">
        <w:rPr>
          <w:rFonts w:cs="Times New Roman"/>
          <w:szCs w:val="24"/>
        </w:rPr>
        <w:t xml:space="preserve">Preces un pakalpojumi, ko plānots iegādāties konkrētu pakalpojumu nodrošināšanai, ir uzskatāmi par tiešajām izmaksām attiecīgā pakalpojuma nodrošināšanai. </w:t>
      </w:r>
      <w:r>
        <w:rPr>
          <w:rFonts w:cs="Times New Roman"/>
          <w:szCs w:val="24"/>
        </w:rPr>
        <w:t>Š</w:t>
      </w:r>
      <w:r w:rsidRPr="00420B12">
        <w:rPr>
          <w:rFonts w:cs="Times New Roman"/>
          <w:szCs w:val="24"/>
        </w:rPr>
        <w:t>ie izdevumi tiek plānoti un faktiski uzskaitīti, norādot konkrētus pakalpojumus, uz kuriem konkrētie izdevumi var tikt attiecināti.</w:t>
      </w:r>
    </w:p>
    <w:p w14:paraId="42E0F95C" w14:textId="552FCD81" w:rsidR="00420B12" w:rsidRDefault="00420B12"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sidRPr="00420B12">
        <w:rPr>
          <w:rFonts w:cs="Times New Roman"/>
          <w:szCs w:val="24"/>
        </w:rPr>
        <w:t>Ilgtermiņa ieguldījumi, kuri tiek izmantoti tikai konkrētu pakalpojumu veikšanai, nolietojums tiek attiecināts uz attiecīgu pakalpojumu pašizmaksas aprēķinu</w:t>
      </w:r>
      <w:r>
        <w:rPr>
          <w:rFonts w:cs="Times New Roman"/>
          <w:szCs w:val="24"/>
        </w:rPr>
        <w:t>.</w:t>
      </w:r>
    </w:p>
    <w:p w14:paraId="456FD6FD" w14:textId="77777777" w:rsidR="00C42D15" w:rsidRPr="00C42D15" w:rsidRDefault="00C42D15" w:rsidP="00C42D15">
      <w:pPr>
        <w:widowControl/>
        <w:autoSpaceDE/>
        <w:autoSpaceDN/>
        <w:adjustRightInd/>
        <w:spacing w:before="120"/>
        <w:ind w:right="45"/>
        <w:rPr>
          <w:rFonts w:cs="Times New Roman"/>
          <w:szCs w:val="24"/>
        </w:rPr>
      </w:pPr>
    </w:p>
    <w:p w14:paraId="0B26AE56" w14:textId="77777777" w:rsidR="00887BBE" w:rsidRDefault="00887BBE" w:rsidP="00BC37A1">
      <w:pPr>
        <w:pStyle w:val="ListParagraph"/>
        <w:widowControl/>
        <w:numPr>
          <w:ilvl w:val="0"/>
          <w:numId w:val="1"/>
        </w:numPr>
        <w:autoSpaceDE/>
        <w:autoSpaceDN/>
        <w:adjustRightInd/>
        <w:spacing w:before="120"/>
        <w:ind w:left="284" w:right="45" w:hanging="284"/>
        <w:jc w:val="center"/>
        <w:rPr>
          <w:rFonts w:cs="Times New Roman"/>
          <w:b/>
          <w:bCs/>
          <w:szCs w:val="24"/>
        </w:rPr>
      </w:pPr>
      <w:r w:rsidRPr="00887BBE">
        <w:rPr>
          <w:rFonts w:cs="Times New Roman"/>
          <w:b/>
          <w:bCs/>
          <w:szCs w:val="24"/>
        </w:rPr>
        <w:t>Netiešās izmaksas</w:t>
      </w:r>
    </w:p>
    <w:p w14:paraId="46C3841E" w14:textId="3B98FDA7" w:rsidR="00887BBE" w:rsidRPr="00887BBE" w:rsidRDefault="00887BBE"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szCs w:val="24"/>
        </w:rPr>
        <w:t>Netiešās izmaksas – izmaksas, kas nav attiecināmas uz kādu konkrētu pakalpojumu, bet ir kopumā attiecināmas uz pakalpojumu grupu vai visu Fonda sniegto pakalpojumu nodrošināšanu.</w:t>
      </w:r>
    </w:p>
    <w:p w14:paraId="61A8ECB7" w14:textId="77777777" w:rsidR="00887BBE" w:rsidRPr="00887BBE" w:rsidRDefault="00887BBE"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szCs w:val="24"/>
        </w:rPr>
        <w:t>Netiešās izmaksas var būt gan darbinieku atalgojums, gan preču un pakalpojumu iegādes izmaksas, gan ilgtermiņa ieguldījumu nolietojums.</w:t>
      </w:r>
    </w:p>
    <w:p w14:paraId="776A129F" w14:textId="4E48698B" w:rsidR="00887BBE" w:rsidRPr="00887BBE" w:rsidRDefault="00C42D15"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szCs w:val="24"/>
        </w:rPr>
        <w:t>Pārējos</w:t>
      </w:r>
      <w:r w:rsidR="00887BBE" w:rsidRPr="00887BBE">
        <w:rPr>
          <w:szCs w:val="24"/>
        </w:rPr>
        <w:t xml:space="preserve"> izdevumus, kuri ir attiecināmi gan uz deleģēšanas līguma izpildi, gan uz saimnieciskās darbības pakalpojumu nodrošināšanu, plāno un faktiski noraksta pēc proporcijas </w:t>
      </w:r>
      <w:r w:rsidR="00887BBE">
        <w:rPr>
          <w:szCs w:val="24"/>
        </w:rPr>
        <w:t>1</w:t>
      </w:r>
      <w:r w:rsidR="00887BBE" w:rsidRPr="00887BBE">
        <w:rPr>
          <w:szCs w:val="24"/>
        </w:rPr>
        <w:t xml:space="preserve">0% saimnieciskā darbība un </w:t>
      </w:r>
      <w:r w:rsidR="00887BBE">
        <w:rPr>
          <w:szCs w:val="24"/>
        </w:rPr>
        <w:t>9</w:t>
      </w:r>
      <w:r w:rsidR="00887BBE" w:rsidRPr="00887BBE">
        <w:rPr>
          <w:szCs w:val="24"/>
        </w:rPr>
        <w:t>0% deleģēšanas līgums, bet proporcija var mainīties.</w:t>
      </w:r>
    </w:p>
    <w:p w14:paraId="1F874588" w14:textId="77777777" w:rsidR="00BF5B8F" w:rsidRDefault="00C42D15"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rFonts w:cs="Times New Roman"/>
          <w:szCs w:val="24"/>
        </w:rPr>
        <w:t>Apdrošināšanas, t</w:t>
      </w:r>
      <w:r w:rsidR="00056987" w:rsidRPr="00104616">
        <w:rPr>
          <w:rFonts w:cs="Times New Roman"/>
          <w:szCs w:val="24"/>
        </w:rPr>
        <w:t>elpu nomas</w:t>
      </w:r>
      <w:r w:rsidR="009B1A99">
        <w:rPr>
          <w:rFonts w:cs="Times New Roman"/>
          <w:szCs w:val="24"/>
        </w:rPr>
        <w:t>,</w:t>
      </w:r>
      <w:r w:rsidR="005E30C2">
        <w:rPr>
          <w:rFonts w:cs="Times New Roman"/>
          <w:szCs w:val="24"/>
        </w:rPr>
        <w:t xml:space="preserve"> </w:t>
      </w:r>
      <w:r w:rsidR="00056987" w:rsidRPr="00104616">
        <w:rPr>
          <w:rFonts w:cs="Times New Roman"/>
          <w:szCs w:val="24"/>
        </w:rPr>
        <w:t>apsaimniekošanas</w:t>
      </w:r>
      <w:r w:rsidR="007C790D">
        <w:rPr>
          <w:rFonts w:cs="Times New Roman"/>
          <w:szCs w:val="24"/>
        </w:rPr>
        <w:t>, komunālo pakalpojumu</w:t>
      </w:r>
      <w:r>
        <w:rPr>
          <w:rFonts w:cs="Times New Roman"/>
          <w:szCs w:val="24"/>
        </w:rPr>
        <w:t>, uzkopšanas</w:t>
      </w:r>
      <w:r w:rsidR="009B1A99">
        <w:rPr>
          <w:rFonts w:cs="Times New Roman"/>
          <w:szCs w:val="24"/>
        </w:rPr>
        <w:t xml:space="preserve"> un </w:t>
      </w:r>
      <w:r w:rsidR="009B1A99" w:rsidRPr="00104616">
        <w:rPr>
          <w:rFonts w:cs="Times New Roman"/>
          <w:szCs w:val="24"/>
        </w:rPr>
        <w:t>elektroenerģijas izmaksas</w:t>
      </w:r>
      <w:r w:rsidR="00056987" w:rsidRPr="00104616">
        <w:rPr>
          <w:rFonts w:cs="Times New Roman"/>
          <w:szCs w:val="24"/>
        </w:rPr>
        <w:t xml:space="preserve"> tiek aprēķinātas</w:t>
      </w:r>
      <w:r w:rsidR="00BF5B8F">
        <w:rPr>
          <w:rFonts w:cs="Times New Roman"/>
          <w:szCs w:val="24"/>
        </w:rPr>
        <w:t xml:space="preserve"> saskaņā ar sekojošu formulu:</w:t>
      </w:r>
    </w:p>
    <w:p w14:paraId="6ABEF997" w14:textId="6DACB24E" w:rsidR="00BF5B8F" w:rsidRDefault="00A86C92" w:rsidP="00BF5B8F">
      <w:pPr>
        <w:pStyle w:val="ListParagraph"/>
        <w:widowControl/>
        <w:autoSpaceDE/>
        <w:autoSpaceDN/>
        <w:adjustRightInd/>
        <w:spacing w:before="120"/>
        <w:ind w:left="567" w:right="45"/>
        <w:contextualSpacing w:val="0"/>
        <w:rPr>
          <w:rFonts w:cs="Times New Roman"/>
          <w:szCs w:val="24"/>
        </w:rPr>
      </w:pPr>
      <m:oMath>
        <m:sSub>
          <m:sSubPr>
            <m:ctrlPr>
              <w:rPr>
                <w:rFonts w:ascii="Cambria Math" w:hAnsi="Cambria Math"/>
                <w:b/>
                <w:iCs/>
                <w:sz w:val="28"/>
                <w:szCs w:val="28"/>
              </w:rPr>
            </m:ctrlPr>
          </m:sSubPr>
          <m:e>
            <m:r>
              <m:rPr>
                <m:sty m:val="b"/>
              </m:rPr>
              <w:rPr>
                <w:rFonts w:ascii="Cambria Math" w:hAnsi="Cambria Math"/>
                <w:sz w:val="28"/>
                <w:szCs w:val="28"/>
              </w:rPr>
              <m:t>I</m:t>
            </m:r>
          </m:e>
          <m:sub>
            <m:r>
              <m:rPr>
                <m:sty m:val="b"/>
              </m:rPr>
              <w:rPr>
                <w:rFonts w:ascii="Cambria Math" w:hAnsi="Cambria Math"/>
                <w:sz w:val="28"/>
                <w:szCs w:val="28"/>
              </w:rPr>
              <m:t>EKII</m:t>
            </m:r>
          </m:sub>
        </m:sSub>
        <m:r>
          <m:rPr>
            <m:sty m:val="b"/>
          </m:rPr>
          <w:rPr>
            <w:rFonts w:ascii="Cambria Math" w:hAnsi="Cambria Math"/>
            <w:sz w:val="28"/>
            <w:szCs w:val="28"/>
          </w:rPr>
          <m:t>=</m:t>
        </m:r>
        <m:f>
          <m:fPr>
            <m:ctrlPr>
              <w:rPr>
                <w:rFonts w:ascii="Cambria Math" w:hAnsi="Cambria Math"/>
                <w:b/>
                <w:iCs/>
                <w:sz w:val="28"/>
                <w:szCs w:val="28"/>
              </w:rPr>
            </m:ctrlPr>
          </m:fPr>
          <m:num>
            <m:sSub>
              <m:sSubPr>
                <m:ctrlPr>
                  <w:rPr>
                    <w:rFonts w:ascii="Cambria Math" w:hAnsi="Cambria Math"/>
                    <w:b/>
                    <w:iCs/>
                    <w:sz w:val="28"/>
                    <w:szCs w:val="28"/>
                  </w:rPr>
                </m:ctrlPr>
              </m:sSubPr>
              <m:e>
                <m:r>
                  <m:rPr>
                    <m:sty m:val="b"/>
                  </m:rPr>
                  <w:rPr>
                    <w:rFonts w:ascii="Cambria Math" w:hAnsi="Cambria Math"/>
                    <w:sz w:val="28"/>
                    <w:szCs w:val="28"/>
                  </w:rPr>
                  <m:t>I</m:t>
                </m:r>
              </m:e>
              <m:sub>
                <m:r>
                  <m:rPr>
                    <m:sty m:val="b"/>
                  </m:rPr>
                  <w:rPr>
                    <w:rFonts w:ascii="Cambria Math" w:hAnsi="Cambria Math"/>
                    <w:sz w:val="28"/>
                    <w:szCs w:val="28"/>
                  </w:rPr>
                  <m:t>kop</m:t>
                </m:r>
                <m:r>
                  <m:rPr>
                    <m:sty m:val="b"/>
                  </m:rPr>
                  <w:rPr>
                    <w:rFonts w:ascii="Cambria Math" w:hAnsi="Cambria Math"/>
                    <w:sz w:val="28"/>
                    <w:szCs w:val="28"/>
                  </w:rPr>
                  <m:t>ā</m:t>
                </m:r>
              </m:sub>
            </m:sSub>
          </m:num>
          <m:den>
            <m:sSub>
              <m:sSubPr>
                <m:ctrlPr>
                  <w:rPr>
                    <w:rFonts w:ascii="Cambria Math" w:hAnsi="Cambria Math"/>
                    <w:b/>
                    <w:iCs/>
                    <w:sz w:val="28"/>
                    <w:szCs w:val="28"/>
                  </w:rPr>
                </m:ctrlPr>
              </m:sSubPr>
              <m:e>
                <m:r>
                  <m:rPr>
                    <m:sty m:val="b"/>
                  </m:rPr>
                  <w:rPr>
                    <w:rFonts w:ascii="Cambria Math" w:hAnsi="Cambria Math"/>
                    <w:sz w:val="28"/>
                    <w:szCs w:val="28"/>
                  </w:rPr>
                  <m:t>D</m:t>
                </m:r>
              </m:e>
              <m:sub>
                <m:r>
                  <m:rPr>
                    <m:sty m:val="b"/>
                  </m:rPr>
                  <w:rPr>
                    <w:rFonts w:ascii="Cambria Math" w:hAnsi="Cambria Math"/>
                    <w:sz w:val="28"/>
                    <w:szCs w:val="28"/>
                  </w:rPr>
                  <m:t>kop</m:t>
                </m:r>
                <m:r>
                  <m:rPr>
                    <m:sty m:val="b"/>
                  </m:rPr>
                  <w:rPr>
                    <w:rFonts w:ascii="Cambria Math" w:hAnsi="Cambria Math"/>
                    <w:sz w:val="28"/>
                    <w:szCs w:val="28"/>
                  </w:rPr>
                  <m:t>ā</m:t>
                </m:r>
              </m:sub>
            </m:sSub>
          </m:den>
        </m:f>
        <m:r>
          <m:rPr>
            <m:sty m:val="bi"/>
          </m:rPr>
          <w:rPr>
            <w:rFonts w:ascii="Cambria Math" w:hAnsi="Cambria Math"/>
            <w:sz w:val="28"/>
            <w:szCs w:val="28"/>
          </w:rPr>
          <m:t>×</m:t>
        </m:r>
        <m:sSub>
          <m:sSubPr>
            <m:ctrlPr>
              <w:rPr>
                <w:rFonts w:ascii="Cambria Math" w:hAnsi="Cambria Math"/>
                <w:b/>
                <w:iCs/>
                <w:sz w:val="28"/>
                <w:szCs w:val="28"/>
              </w:rPr>
            </m:ctrlPr>
          </m:sSubPr>
          <m:e>
            <m:r>
              <m:rPr>
                <m:sty m:val="b"/>
              </m:rPr>
              <w:rPr>
                <w:rFonts w:ascii="Cambria Math" w:hAnsi="Cambria Math"/>
                <w:sz w:val="28"/>
                <w:szCs w:val="28"/>
              </w:rPr>
              <m:t>D</m:t>
            </m:r>
          </m:e>
          <m:sub>
            <m:r>
              <m:rPr>
                <m:sty m:val="b"/>
              </m:rPr>
              <w:rPr>
                <w:rFonts w:ascii="Cambria Math" w:hAnsi="Cambria Math"/>
                <w:sz w:val="28"/>
                <w:szCs w:val="28"/>
              </w:rPr>
              <m:t>EKII</m:t>
            </m:r>
          </m:sub>
        </m:sSub>
      </m:oMath>
      <w:r w:rsidR="00056987" w:rsidRPr="00104616">
        <w:rPr>
          <w:rFonts w:cs="Times New Roman"/>
          <w:szCs w:val="24"/>
        </w:rPr>
        <w:t xml:space="preserve">, </w:t>
      </w:r>
      <w:r w:rsidR="00BF5B8F">
        <w:rPr>
          <w:rFonts w:cs="Times New Roman"/>
          <w:szCs w:val="24"/>
        </w:rPr>
        <w:t>kur</w:t>
      </w:r>
    </w:p>
    <w:p w14:paraId="333A4826" w14:textId="34690BC3" w:rsidR="00BF5B8F" w:rsidRDefault="00BF5B8F" w:rsidP="00BF5B8F">
      <w:pPr>
        <w:pStyle w:val="ListParagraph"/>
        <w:widowControl/>
        <w:autoSpaceDE/>
        <w:autoSpaceDN/>
        <w:adjustRightInd/>
        <w:spacing w:before="120"/>
        <w:ind w:left="567" w:right="45"/>
        <w:contextualSpacing w:val="0"/>
        <w:rPr>
          <w:rFonts w:cs="Times New Roman"/>
          <w:szCs w:val="24"/>
        </w:rPr>
      </w:pPr>
      <w:r>
        <w:rPr>
          <w:rFonts w:cs="Times New Roman"/>
          <w:szCs w:val="24"/>
        </w:rPr>
        <w:t>I</w:t>
      </w:r>
      <w:r w:rsidRPr="00582E30">
        <w:rPr>
          <w:rFonts w:cs="Times New Roman"/>
          <w:szCs w:val="24"/>
          <w:vertAlign w:val="subscript"/>
        </w:rPr>
        <w:t>EKII</w:t>
      </w:r>
      <w:r>
        <w:rPr>
          <w:rFonts w:cs="Times New Roman"/>
          <w:szCs w:val="24"/>
        </w:rPr>
        <w:t xml:space="preserve"> – attiecināmās izmaksas uz EKII,</w:t>
      </w:r>
    </w:p>
    <w:p w14:paraId="468F1FD0" w14:textId="523BF82F" w:rsidR="00BF5B8F" w:rsidRDefault="00BF5B8F" w:rsidP="00BF5B8F">
      <w:pPr>
        <w:pStyle w:val="ListParagraph"/>
        <w:widowControl/>
        <w:autoSpaceDE/>
        <w:autoSpaceDN/>
        <w:adjustRightInd/>
        <w:spacing w:before="120"/>
        <w:ind w:left="567" w:right="45"/>
        <w:contextualSpacing w:val="0"/>
        <w:rPr>
          <w:rFonts w:cs="Times New Roman"/>
          <w:szCs w:val="24"/>
        </w:rPr>
      </w:pPr>
      <w:proofErr w:type="spellStart"/>
      <w:r>
        <w:rPr>
          <w:rFonts w:cs="Times New Roman"/>
          <w:szCs w:val="24"/>
        </w:rPr>
        <w:t>I</w:t>
      </w:r>
      <w:r w:rsidRPr="00582E30">
        <w:rPr>
          <w:rFonts w:cs="Times New Roman"/>
          <w:szCs w:val="24"/>
          <w:vertAlign w:val="subscript"/>
        </w:rPr>
        <w:t>kopā</w:t>
      </w:r>
      <w:proofErr w:type="spellEnd"/>
      <w:r>
        <w:rPr>
          <w:rFonts w:cs="Times New Roman"/>
          <w:szCs w:val="24"/>
          <w:vertAlign w:val="subscript"/>
        </w:rPr>
        <w:t xml:space="preserve"> </w:t>
      </w:r>
      <w:r>
        <w:rPr>
          <w:rFonts w:cs="Times New Roman"/>
          <w:szCs w:val="24"/>
        </w:rPr>
        <w:t>– kopējās izmaksas,</w:t>
      </w:r>
    </w:p>
    <w:p w14:paraId="10444F7F" w14:textId="263BC762" w:rsidR="00BF5B8F" w:rsidRDefault="00BF5B8F" w:rsidP="00BF5B8F">
      <w:pPr>
        <w:pStyle w:val="ListParagraph"/>
        <w:widowControl/>
        <w:autoSpaceDE/>
        <w:autoSpaceDN/>
        <w:adjustRightInd/>
        <w:spacing w:before="120"/>
        <w:ind w:left="567" w:right="45"/>
        <w:contextualSpacing w:val="0"/>
        <w:rPr>
          <w:rFonts w:cs="Times New Roman"/>
          <w:szCs w:val="24"/>
        </w:rPr>
      </w:pPr>
      <w:proofErr w:type="spellStart"/>
      <w:r>
        <w:rPr>
          <w:rFonts w:cs="Times New Roman"/>
          <w:szCs w:val="24"/>
        </w:rPr>
        <w:lastRenderedPageBreak/>
        <w:t>D</w:t>
      </w:r>
      <w:r>
        <w:rPr>
          <w:rFonts w:cs="Times New Roman"/>
          <w:szCs w:val="24"/>
          <w:vertAlign w:val="subscript"/>
        </w:rPr>
        <w:t>kopā</w:t>
      </w:r>
      <w:proofErr w:type="spellEnd"/>
      <w:r>
        <w:rPr>
          <w:rFonts w:cs="Times New Roman"/>
          <w:szCs w:val="24"/>
        </w:rPr>
        <w:t xml:space="preserve"> – pilnas slodzes darbinieku skaits Fondā,</w:t>
      </w:r>
    </w:p>
    <w:p w14:paraId="04F1CD97" w14:textId="30216FBB" w:rsidR="00BF5B8F" w:rsidRDefault="00BF5B8F" w:rsidP="00BF5B8F">
      <w:pPr>
        <w:pStyle w:val="ListParagraph"/>
        <w:widowControl/>
        <w:autoSpaceDE/>
        <w:autoSpaceDN/>
        <w:adjustRightInd/>
        <w:spacing w:before="120"/>
        <w:ind w:left="567" w:right="45"/>
        <w:contextualSpacing w:val="0"/>
        <w:rPr>
          <w:rFonts w:cs="Times New Roman"/>
          <w:szCs w:val="24"/>
        </w:rPr>
      </w:pPr>
      <w:r>
        <w:rPr>
          <w:rFonts w:cs="Times New Roman"/>
          <w:szCs w:val="24"/>
        </w:rPr>
        <w:t>D</w:t>
      </w:r>
      <w:r>
        <w:rPr>
          <w:rFonts w:cs="Times New Roman"/>
          <w:szCs w:val="24"/>
          <w:vertAlign w:val="subscript"/>
        </w:rPr>
        <w:t>EKII</w:t>
      </w:r>
      <w:r>
        <w:rPr>
          <w:rFonts w:cs="Times New Roman"/>
          <w:szCs w:val="24"/>
        </w:rPr>
        <w:t xml:space="preserve"> – pilnas slodzes darbinieku skaits </w:t>
      </w:r>
      <w:r w:rsidRPr="00BF5B8F">
        <w:rPr>
          <w:rFonts w:cs="Times New Roman"/>
          <w:szCs w:val="24"/>
        </w:rPr>
        <w:t>deleģēt</w:t>
      </w:r>
      <w:r>
        <w:rPr>
          <w:rFonts w:cs="Times New Roman"/>
          <w:szCs w:val="24"/>
        </w:rPr>
        <w:t>o</w:t>
      </w:r>
      <w:r w:rsidRPr="00BF5B8F">
        <w:rPr>
          <w:rFonts w:cs="Times New Roman"/>
          <w:szCs w:val="24"/>
        </w:rPr>
        <w:t xml:space="preserve"> uzdevum</w:t>
      </w:r>
      <w:r>
        <w:rPr>
          <w:rFonts w:cs="Times New Roman"/>
          <w:szCs w:val="24"/>
        </w:rPr>
        <w:t>u veikšanai.</w:t>
      </w:r>
    </w:p>
    <w:p w14:paraId="497A6C9B" w14:textId="42337615" w:rsidR="002F0146" w:rsidRPr="00104616" w:rsidRDefault="009B1A99"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rFonts w:cs="Times New Roman"/>
          <w:szCs w:val="24"/>
        </w:rPr>
        <w:t>Biroja un k</w:t>
      </w:r>
      <w:r w:rsidR="00056987" w:rsidRPr="00104616">
        <w:rPr>
          <w:rFonts w:cs="Times New Roman"/>
          <w:szCs w:val="24"/>
        </w:rPr>
        <w:t>ancelejas preču izmaksas</w:t>
      </w:r>
      <w:r w:rsidRPr="00104616">
        <w:rPr>
          <w:rFonts w:cs="Times New Roman"/>
          <w:szCs w:val="24"/>
        </w:rPr>
        <w:t xml:space="preserve"> vidēji ne vairāk kā </w:t>
      </w:r>
      <w:r>
        <w:rPr>
          <w:rFonts w:cs="Times New Roman"/>
          <w:szCs w:val="24"/>
        </w:rPr>
        <w:t xml:space="preserve">200 </w:t>
      </w:r>
      <w:proofErr w:type="spellStart"/>
      <w:r w:rsidRPr="00C81091">
        <w:rPr>
          <w:rFonts w:cs="Times New Roman"/>
          <w:i/>
          <w:szCs w:val="24"/>
        </w:rPr>
        <w:t>euro</w:t>
      </w:r>
      <w:proofErr w:type="spellEnd"/>
      <w:r w:rsidRPr="00104616">
        <w:rPr>
          <w:rFonts w:cs="Times New Roman"/>
          <w:szCs w:val="24"/>
        </w:rPr>
        <w:t xml:space="preserve"> uz katru </w:t>
      </w:r>
      <w:r>
        <w:rPr>
          <w:rFonts w:cs="Times New Roman"/>
          <w:szCs w:val="24"/>
        </w:rPr>
        <w:t xml:space="preserve">pilnas slodzes </w:t>
      </w:r>
      <w:r w:rsidR="00104698">
        <w:rPr>
          <w:rFonts w:cs="Times New Roman"/>
          <w:szCs w:val="24"/>
        </w:rPr>
        <w:t>darbinieku</w:t>
      </w:r>
      <w:r w:rsidR="00056987" w:rsidRPr="00104616">
        <w:rPr>
          <w:rFonts w:cs="Times New Roman"/>
          <w:szCs w:val="24"/>
        </w:rPr>
        <w:t>:</w:t>
      </w:r>
    </w:p>
    <w:p w14:paraId="033FC027" w14:textId="40DFD2F8" w:rsidR="002F0146" w:rsidRPr="00104616" w:rsidRDefault="00056987"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rFonts w:cs="Times New Roman"/>
          <w:szCs w:val="24"/>
        </w:rPr>
        <w:t>S</w:t>
      </w:r>
      <w:r w:rsidRPr="00104616">
        <w:rPr>
          <w:rFonts w:cs="Times New Roman"/>
          <w:szCs w:val="24"/>
        </w:rPr>
        <w:t>akaru</w:t>
      </w:r>
      <w:r w:rsidR="005E30C2">
        <w:rPr>
          <w:rFonts w:cs="Times New Roman"/>
          <w:szCs w:val="24"/>
        </w:rPr>
        <w:t xml:space="preserve"> un komunikācijas</w:t>
      </w:r>
      <w:r w:rsidRPr="00104616">
        <w:rPr>
          <w:rFonts w:cs="Times New Roman"/>
          <w:szCs w:val="24"/>
        </w:rPr>
        <w:t xml:space="preserve"> izdevumi:</w:t>
      </w:r>
    </w:p>
    <w:p w14:paraId="3FBB4C8B" w14:textId="58ABF77A" w:rsidR="002F0146" w:rsidRPr="00104616" w:rsidRDefault="00056987" w:rsidP="00BC37A1">
      <w:pPr>
        <w:pStyle w:val="ListParagraph"/>
        <w:widowControl/>
        <w:numPr>
          <w:ilvl w:val="2"/>
          <w:numId w:val="1"/>
        </w:numPr>
        <w:autoSpaceDE/>
        <w:autoSpaceDN/>
        <w:adjustRightInd/>
        <w:spacing w:before="120"/>
        <w:ind w:left="851" w:right="45" w:hanging="851"/>
        <w:rPr>
          <w:rFonts w:cs="Times New Roman"/>
          <w:szCs w:val="24"/>
        </w:rPr>
      </w:pPr>
      <w:r w:rsidRPr="00104616">
        <w:rPr>
          <w:rFonts w:cs="Times New Roman"/>
          <w:szCs w:val="24"/>
        </w:rPr>
        <w:t xml:space="preserve">mobilā </w:t>
      </w:r>
      <w:r w:rsidR="00104698">
        <w:rPr>
          <w:rFonts w:cs="Times New Roman"/>
          <w:szCs w:val="24"/>
        </w:rPr>
        <w:t>tālruņa</w:t>
      </w:r>
      <w:r w:rsidR="00104698" w:rsidRPr="00104616">
        <w:rPr>
          <w:rFonts w:cs="Times New Roman"/>
          <w:szCs w:val="24"/>
        </w:rPr>
        <w:t xml:space="preserve"> </w:t>
      </w:r>
      <w:r w:rsidRPr="00104616">
        <w:rPr>
          <w:rFonts w:cs="Times New Roman"/>
          <w:szCs w:val="24"/>
        </w:rPr>
        <w:t xml:space="preserve">sakari </w:t>
      </w:r>
      <w:r w:rsidR="005E30C2">
        <w:rPr>
          <w:rFonts w:cs="Times New Roman"/>
          <w:szCs w:val="24"/>
        </w:rPr>
        <w:t>katram pilnas slodzes projektu vadītājam</w:t>
      </w:r>
      <w:r w:rsidRPr="00104616">
        <w:rPr>
          <w:rFonts w:cs="Times New Roman"/>
          <w:szCs w:val="24"/>
        </w:rPr>
        <w:t>;</w:t>
      </w:r>
    </w:p>
    <w:p w14:paraId="0F744911" w14:textId="2BC90C9D" w:rsidR="002F0146" w:rsidRDefault="00056987" w:rsidP="00BC37A1">
      <w:pPr>
        <w:pStyle w:val="ListParagraph"/>
        <w:widowControl/>
        <w:numPr>
          <w:ilvl w:val="2"/>
          <w:numId w:val="1"/>
        </w:numPr>
        <w:autoSpaceDE/>
        <w:autoSpaceDN/>
        <w:adjustRightInd/>
        <w:spacing w:before="120"/>
        <w:ind w:left="851" w:right="45" w:hanging="851"/>
        <w:rPr>
          <w:rFonts w:cs="Times New Roman"/>
          <w:szCs w:val="24"/>
        </w:rPr>
      </w:pPr>
      <w:r w:rsidRPr="00104616">
        <w:rPr>
          <w:rFonts w:cs="Times New Roman"/>
          <w:szCs w:val="24"/>
        </w:rPr>
        <w:t xml:space="preserve">pasta pakalpojumu izmaksas – saskaņā ar </w:t>
      </w:r>
      <w:r w:rsidR="007A2A89">
        <w:rPr>
          <w:rFonts w:cs="Times New Roman"/>
          <w:szCs w:val="24"/>
        </w:rPr>
        <w:t>VAS “</w:t>
      </w:r>
      <w:r w:rsidRPr="00104616">
        <w:rPr>
          <w:rFonts w:cs="Times New Roman"/>
          <w:szCs w:val="24"/>
        </w:rPr>
        <w:t>Latvijas Pasts</w:t>
      </w:r>
      <w:r w:rsidR="007A2A89">
        <w:rPr>
          <w:rFonts w:cs="Times New Roman"/>
          <w:szCs w:val="24"/>
        </w:rPr>
        <w:t>”</w:t>
      </w:r>
      <w:r w:rsidRPr="00104616">
        <w:rPr>
          <w:rFonts w:cs="Times New Roman"/>
          <w:szCs w:val="24"/>
        </w:rPr>
        <w:t xml:space="preserve"> izcenojumiem</w:t>
      </w:r>
      <w:r>
        <w:rPr>
          <w:rFonts w:cs="Times New Roman"/>
          <w:szCs w:val="24"/>
        </w:rPr>
        <w:t>;</w:t>
      </w:r>
    </w:p>
    <w:p w14:paraId="1FD1B542" w14:textId="70BFBB8A" w:rsidR="005E30C2" w:rsidRDefault="005E30C2" w:rsidP="00BC37A1">
      <w:pPr>
        <w:pStyle w:val="ListParagraph"/>
        <w:widowControl/>
        <w:numPr>
          <w:ilvl w:val="2"/>
          <w:numId w:val="1"/>
        </w:numPr>
        <w:autoSpaceDE/>
        <w:autoSpaceDN/>
        <w:adjustRightInd/>
        <w:spacing w:before="120"/>
        <w:ind w:left="851" w:right="45" w:hanging="851"/>
        <w:rPr>
          <w:rFonts w:cs="Times New Roman"/>
          <w:szCs w:val="24"/>
        </w:rPr>
      </w:pPr>
      <w:r>
        <w:rPr>
          <w:rFonts w:cs="Times New Roman"/>
          <w:szCs w:val="24"/>
        </w:rPr>
        <w:t xml:space="preserve">interneta </w:t>
      </w:r>
      <w:proofErr w:type="spellStart"/>
      <w:r>
        <w:rPr>
          <w:rFonts w:cs="Times New Roman"/>
          <w:szCs w:val="24"/>
        </w:rPr>
        <w:t>pieslēguma</w:t>
      </w:r>
      <w:proofErr w:type="spellEnd"/>
      <w:r>
        <w:rPr>
          <w:rFonts w:cs="Times New Roman"/>
          <w:szCs w:val="24"/>
        </w:rPr>
        <w:t xml:space="preserve"> nodrošināšanas izmaksas.</w:t>
      </w:r>
    </w:p>
    <w:p w14:paraId="4D03194D" w14:textId="77777777" w:rsidR="005E30C2" w:rsidRDefault="005E30C2"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sidRPr="00420B12">
        <w:rPr>
          <w:rFonts w:cs="Times New Roman"/>
          <w:szCs w:val="24"/>
        </w:rPr>
        <w:t>Izmaksas, kas saistītas ar pārbaudēm KPFI un EKII projekta īstenošanas vietā, tai skaitā:</w:t>
      </w:r>
    </w:p>
    <w:p w14:paraId="0AEE7FB5" w14:textId="6C5522C6" w:rsidR="005E30C2" w:rsidRPr="00420B12" w:rsidRDefault="005E30C2" w:rsidP="00BC37A1">
      <w:pPr>
        <w:pStyle w:val="ListParagraph"/>
        <w:widowControl/>
        <w:numPr>
          <w:ilvl w:val="2"/>
          <w:numId w:val="1"/>
        </w:numPr>
        <w:autoSpaceDE/>
        <w:autoSpaceDN/>
        <w:adjustRightInd/>
        <w:spacing w:before="120"/>
        <w:ind w:left="851" w:right="45" w:hanging="851"/>
        <w:rPr>
          <w:rFonts w:cs="Times New Roman"/>
          <w:szCs w:val="24"/>
        </w:rPr>
      </w:pPr>
      <w:r w:rsidRPr="00420B12">
        <w:rPr>
          <w:rFonts w:cs="Times New Roman"/>
          <w:szCs w:val="24"/>
        </w:rPr>
        <w:t xml:space="preserve">ekspertu piesaistes izmaksas – līdz </w:t>
      </w:r>
      <w:r>
        <w:rPr>
          <w:rFonts w:cs="Times New Roman"/>
          <w:szCs w:val="24"/>
        </w:rPr>
        <w:t>5</w:t>
      </w:r>
      <w:r w:rsidRPr="00420B12">
        <w:rPr>
          <w:rFonts w:cs="Times New Roman"/>
          <w:szCs w:val="24"/>
        </w:rPr>
        <w:t xml:space="preserve">0 </w:t>
      </w:r>
      <w:proofErr w:type="spellStart"/>
      <w:r w:rsidRPr="00887BBE">
        <w:rPr>
          <w:rFonts w:cs="Times New Roman"/>
          <w:i/>
          <w:iCs/>
          <w:szCs w:val="24"/>
        </w:rPr>
        <w:t>euro</w:t>
      </w:r>
      <w:proofErr w:type="spellEnd"/>
      <w:r w:rsidRPr="00420B12">
        <w:rPr>
          <w:rFonts w:cs="Times New Roman"/>
          <w:szCs w:val="24"/>
        </w:rPr>
        <w:t>/stundā ietverot nodokļus;</w:t>
      </w:r>
    </w:p>
    <w:p w14:paraId="7AA60955" w14:textId="77777777" w:rsidR="005E30C2" w:rsidRPr="00420B12" w:rsidRDefault="005E30C2" w:rsidP="00BC37A1">
      <w:pPr>
        <w:pStyle w:val="ListParagraph"/>
        <w:widowControl/>
        <w:numPr>
          <w:ilvl w:val="2"/>
          <w:numId w:val="1"/>
        </w:numPr>
        <w:autoSpaceDE/>
        <w:autoSpaceDN/>
        <w:adjustRightInd/>
        <w:spacing w:before="120"/>
        <w:ind w:left="851" w:right="45" w:hanging="851"/>
        <w:rPr>
          <w:rFonts w:cs="Times New Roman"/>
          <w:szCs w:val="24"/>
        </w:rPr>
      </w:pPr>
      <w:r w:rsidRPr="00420B12">
        <w:rPr>
          <w:rFonts w:cs="Times New Roman"/>
          <w:szCs w:val="24"/>
        </w:rPr>
        <w:t xml:space="preserve">auto nomas izmaksas – līdz </w:t>
      </w:r>
      <w:r>
        <w:rPr>
          <w:rFonts w:cs="Times New Roman"/>
          <w:szCs w:val="24"/>
        </w:rPr>
        <w:t>75</w:t>
      </w:r>
      <w:r w:rsidRPr="00420B12">
        <w:rPr>
          <w:rFonts w:cs="Times New Roman"/>
          <w:szCs w:val="24"/>
        </w:rPr>
        <w:t xml:space="preserve"> </w:t>
      </w:r>
      <w:proofErr w:type="spellStart"/>
      <w:r w:rsidRPr="00887BBE">
        <w:rPr>
          <w:rFonts w:cs="Times New Roman"/>
          <w:i/>
          <w:iCs/>
          <w:szCs w:val="24"/>
        </w:rPr>
        <w:t>euro</w:t>
      </w:r>
      <w:proofErr w:type="spellEnd"/>
      <w:r w:rsidRPr="00420B12">
        <w:rPr>
          <w:rFonts w:cs="Times New Roman"/>
          <w:szCs w:val="24"/>
        </w:rPr>
        <w:t>/diennaktī par vienas automašīnas nomu;</w:t>
      </w:r>
    </w:p>
    <w:p w14:paraId="4EC10620" w14:textId="77777777" w:rsidR="005E30C2" w:rsidRPr="00420B12" w:rsidRDefault="005E30C2" w:rsidP="00BC37A1">
      <w:pPr>
        <w:pStyle w:val="ListParagraph"/>
        <w:widowControl/>
        <w:numPr>
          <w:ilvl w:val="2"/>
          <w:numId w:val="1"/>
        </w:numPr>
        <w:autoSpaceDE/>
        <w:autoSpaceDN/>
        <w:adjustRightInd/>
        <w:spacing w:before="120"/>
        <w:ind w:left="851" w:right="45" w:hanging="851"/>
        <w:rPr>
          <w:rFonts w:cs="Times New Roman"/>
          <w:szCs w:val="24"/>
        </w:rPr>
      </w:pPr>
      <w:r w:rsidRPr="00420B12">
        <w:rPr>
          <w:rFonts w:cs="Times New Roman"/>
          <w:szCs w:val="24"/>
        </w:rPr>
        <w:t>degvielas izmaksas – norma ne vairāk kā 10 litru uz 100km;</w:t>
      </w:r>
    </w:p>
    <w:p w14:paraId="5E14EA64" w14:textId="77777777" w:rsidR="005E30C2" w:rsidRPr="00420B12" w:rsidRDefault="005E30C2" w:rsidP="00BC37A1">
      <w:pPr>
        <w:pStyle w:val="ListParagraph"/>
        <w:widowControl/>
        <w:numPr>
          <w:ilvl w:val="2"/>
          <w:numId w:val="1"/>
        </w:numPr>
        <w:autoSpaceDE/>
        <w:autoSpaceDN/>
        <w:adjustRightInd/>
        <w:spacing w:before="120"/>
        <w:ind w:left="851" w:right="45" w:hanging="851"/>
        <w:rPr>
          <w:rFonts w:cs="Times New Roman"/>
          <w:szCs w:val="24"/>
        </w:rPr>
      </w:pPr>
      <w:r w:rsidRPr="00420B12">
        <w:rPr>
          <w:rFonts w:cs="Times New Roman"/>
          <w:szCs w:val="24"/>
        </w:rPr>
        <w:t>taksometra pakalpojumi Rīgā, ja to izmantošana nepārsniedz izmaksas par auto nomu vienai dienai;</w:t>
      </w:r>
    </w:p>
    <w:p w14:paraId="6370E654" w14:textId="274EC36D" w:rsidR="005E30C2" w:rsidRPr="00420B12" w:rsidRDefault="005E30C2" w:rsidP="00BC37A1">
      <w:pPr>
        <w:pStyle w:val="ListParagraph"/>
        <w:widowControl/>
        <w:numPr>
          <w:ilvl w:val="2"/>
          <w:numId w:val="1"/>
        </w:numPr>
        <w:autoSpaceDE/>
        <w:autoSpaceDN/>
        <w:adjustRightInd/>
        <w:spacing w:before="120"/>
        <w:ind w:left="851" w:right="45" w:hanging="851"/>
        <w:rPr>
          <w:rFonts w:cs="Times New Roman"/>
          <w:szCs w:val="24"/>
        </w:rPr>
      </w:pPr>
      <w:r w:rsidRPr="00420B12">
        <w:rPr>
          <w:rFonts w:cs="Times New Roman"/>
          <w:szCs w:val="24"/>
        </w:rPr>
        <w:t xml:space="preserve">dienas nauda komandējumiem </w:t>
      </w:r>
      <w:r w:rsidR="00104698" w:rsidRPr="00420B12">
        <w:rPr>
          <w:rFonts w:cs="Times New Roman"/>
          <w:szCs w:val="24"/>
        </w:rPr>
        <w:t>Latvij</w:t>
      </w:r>
      <w:r w:rsidR="00104698">
        <w:rPr>
          <w:rFonts w:cs="Times New Roman"/>
          <w:szCs w:val="24"/>
        </w:rPr>
        <w:t>as teritorijā</w:t>
      </w:r>
      <w:r w:rsidRPr="00420B12">
        <w:rPr>
          <w:rFonts w:cs="Times New Roman"/>
          <w:szCs w:val="24"/>
        </w:rPr>
        <w:t>, ja komandējums ir ilgāks par 1 dienu un paredz nakšņošanu – saskaņā ar Ministru kabineta 2010</w:t>
      </w:r>
      <w:r w:rsidR="00CE6B9F">
        <w:rPr>
          <w:rFonts w:cs="Times New Roman"/>
          <w:szCs w:val="24"/>
        </w:rPr>
        <w:t>. </w:t>
      </w:r>
      <w:r w:rsidRPr="00420B12">
        <w:rPr>
          <w:rFonts w:cs="Times New Roman"/>
          <w:szCs w:val="24"/>
        </w:rPr>
        <w:t>gada 12.</w:t>
      </w:r>
      <w:r w:rsidR="00CE6B9F">
        <w:rPr>
          <w:rFonts w:cs="Times New Roman"/>
          <w:szCs w:val="24"/>
        </w:rPr>
        <w:t> </w:t>
      </w:r>
      <w:r w:rsidRPr="00420B12">
        <w:rPr>
          <w:rFonts w:cs="Times New Roman"/>
          <w:szCs w:val="24"/>
        </w:rPr>
        <w:t>oktobra noteikumiem Nr.</w:t>
      </w:r>
      <w:r w:rsidR="00CE6B9F">
        <w:rPr>
          <w:rFonts w:cs="Times New Roman"/>
          <w:szCs w:val="24"/>
        </w:rPr>
        <w:t> </w:t>
      </w:r>
      <w:r w:rsidRPr="00420B12">
        <w:rPr>
          <w:rFonts w:cs="Times New Roman"/>
          <w:szCs w:val="24"/>
        </w:rPr>
        <w:t>969 “Kārtība, kādā atlīdzināmi ar komandējumiem saistītie izdevumi”;</w:t>
      </w:r>
    </w:p>
    <w:p w14:paraId="7D4102D9" w14:textId="1D039AB1" w:rsidR="005E30C2" w:rsidRPr="00420B12" w:rsidRDefault="005E30C2" w:rsidP="00BC37A1">
      <w:pPr>
        <w:pStyle w:val="ListParagraph"/>
        <w:widowControl/>
        <w:numPr>
          <w:ilvl w:val="2"/>
          <w:numId w:val="1"/>
        </w:numPr>
        <w:autoSpaceDE/>
        <w:autoSpaceDN/>
        <w:adjustRightInd/>
        <w:spacing w:before="120"/>
        <w:ind w:left="851" w:right="45" w:hanging="851"/>
        <w:rPr>
          <w:rFonts w:cs="Times New Roman"/>
          <w:szCs w:val="24"/>
        </w:rPr>
      </w:pPr>
      <w:r w:rsidRPr="00420B12">
        <w:rPr>
          <w:rFonts w:cs="Times New Roman"/>
          <w:szCs w:val="24"/>
        </w:rPr>
        <w:t xml:space="preserve">viesnīcas izdevumi komandējumiem </w:t>
      </w:r>
      <w:r w:rsidR="00104698" w:rsidRPr="00420B12">
        <w:rPr>
          <w:rFonts w:cs="Times New Roman"/>
          <w:szCs w:val="24"/>
        </w:rPr>
        <w:t>Latvij</w:t>
      </w:r>
      <w:r w:rsidR="00104698">
        <w:rPr>
          <w:rFonts w:cs="Times New Roman"/>
          <w:szCs w:val="24"/>
        </w:rPr>
        <w:t>as teritorijā</w:t>
      </w:r>
      <w:r w:rsidRPr="00420B12">
        <w:rPr>
          <w:rFonts w:cs="Times New Roman"/>
          <w:szCs w:val="24"/>
        </w:rPr>
        <w:t>, ja komandējums ir ilgāks par 1 dienu un attālums līdz Rīgai ir vismaz 100km – saskaņā ar Ministru kabineta</w:t>
      </w:r>
      <w:r>
        <w:rPr>
          <w:rFonts w:cs="Times New Roman"/>
          <w:szCs w:val="24"/>
        </w:rPr>
        <w:t xml:space="preserve"> </w:t>
      </w:r>
      <w:r w:rsidRPr="00420B12">
        <w:rPr>
          <w:rFonts w:cs="Times New Roman"/>
          <w:szCs w:val="24"/>
        </w:rPr>
        <w:t>2010.</w:t>
      </w:r>
      <w:r w:rsidR="00CE6B9F">
        <w:rPr>
          <w:rFonts w:cs="Times New Roman"/>
          <w:szCs w:val="24"/>
        </w:rPr>
        <w:t> </w:t>
      </w:r>
      <w:r w:rsidRPr="00420B12">
        <w:rPr>
          <w:rFonts w:cs="Times New Roman"/>
          <w:szCs w:val="24"/>
        </w:rPr>
        <w:t>gada 12.</w:t>
      </w:r>
      <w:r>
        <w:rPr>
          <w:rFonts w:cs="Times New Roman"/>
          <w:szCs w:val="24"/>
        </w:rPr>
        <w:t> </w:t>
      </w:r>
      <w:r w:rsidRPr="00420B12">
        <w:rPr>
          <w:rFonts w:cs="Times New Roman"/>
          <w:szCs w:val="24"/>
        </w:rPr>
        <w:t>oktobra noteikumiem Nr.</w:t>
      </w:r>
      <w:r w:rsidR="00CE6B9F">
        <w:rPr>
          <w:rFonts w:cs="Times New Roman"/>
          <w:szCs w:val="24"/>
        </w:rPr>
        <w:t> </w:t>
      </w:r>
      <w:r w:rsidRPr="00420B12">
        <w:rPr>
          <w:rFonts w:cs="Times New Roman"/>
          <w:szCs w:val="24"/>
        </w:rPr>
        <w:t>969 “Kārtība, kādā atlīdzināmi ar komandējumiem saistītie izdevumi”.</w:t>
      </w:r>
    </w:p>
    <w:p w14:paraId="7B23D01D" w14:textId="76583597" w:rsidR="002F0146" w:rsidRDefault="00056987"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rFonts w:cs="Times New Roman"/>
          <w:szCs w:val="24"/>
        </w:rPr>
        <w:t>D</w:t>
      </w:r>
      <w:r w:rsidRPr="00104616">
        <w:rPr>
          <w:rFonts w:cs="Times New Roman"/>
          <w:szCs w:val="24"/>
        </w:rPr>
        <w:t xml:space="preserve">arbavietas aprīkojuma izmaksas </w:t>
      </w:r>
      <w:r w:rsidR="00C42D15">
        <w:rPr>
          <w:rFonts w:cs="Times New Roman"/>
          <w:szCs w:val="24"/>
        </w:rPr>
        <w:t xml:space="preserve">Fonda </w:t>
      </w:r>
      <w:r w:rsidRPr="00104616">
        <w:rPr>
          <w:rFonts w:cs="Times New Roman"/>
          <w:szCs w:val="24"/>
        </w:rPr>
        <w:t xml:space="preserve">darbiniekiem, </w:t>
      </w:r>
      <w:r w:rsidR="00C42D15">
        <w:rPr>
          <w:rFonts w:cs="Times New Roman"/>
          <w:szCs w:val="24"/>
        </w:rPr>
        <w:t>atskaitot tos, kas ir iesaistīti Eiropas Savienības līdzfinansēto p</w:t>
      </w:r>
      <w:r w:rsidR="00C42D15" w:rsidRPr="00104616">
        <w:rPr>
          <w:rFonts w:cs="Times New Roman"/>
          <w:szCs w:val="24"/>
        </w:rPr>
        <w:t>rojektu īstenošanas uzraudzībā</w:t>
      </w:r>
      <w:r w:rsidR="00C42D15">
        <w:rPr>
          <w:rFonts w:cs="Times New Roman"/>
          <w:szCs w:val="24"/>
        </w:rPr>
        <w:t>.</w:t>
      </w:r>
    </w:p>
    <w:p w14:paraId="5471C068" w14:textId="35D5CA79" w:rsidR="00C42D15" w:rsidRDefault="00C42D15"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rFonts w:cs="Times New Roman"/>
          <w:szCs w:val="24"/>
        </w:rPr>
        <w:t>Lietvedības programmas Namejs izmaksas.</w:t>
      </w:r>
    </w:p>
    <w:p w14:paraId="17BF1796" w14:textId="5E8E793B" w:rsidR="00BC37A1" w:rsidRPr="00104616" w:rsidRDefault="00BC37A1"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rFonts w:cs="Times New Roman"/>
          <w:szCs w:val="24"/>
        </w:rPr>
        <w:t>Datortīkla apkalpošanas izmaksas, tīmekļa</w:t>
      </w:r>
      <w:r w:rsidRPr="00104616">
        <w:rPr>
          <w:rFonts w:cs="Times New Roman"/>
          <w:szCs w:val="24"/>
        </w:rPr>
        <w:t xml:space="preserve"> vietnes un informācijas sistēmas </w:t>
      </w:r>
      <w:r>
        <w:rPr>
          <w:rFonts w:cs="Times New Roman"/>
          <w:szCs w:val="24"/>
        </w:rPr>
        <w:t>uzturēšanas un</w:t>
      </w:r>
      <w:r w:rsidRPr="00104616">
        <w:rPr>
          <w:rFonts w:cs="Times New Roman"/>
          <w:szCs w:val="24"/>
        </w:rPr>
        <w:t xml:space="preserve"> attīstīšanas izmaksas</w:t>
      </w:r>
      <w:r>
        <w:rPr>
          <w:rFonts w:cs="Times New Roman"/>
          <w:szCs w:val="24"/>
        </w:rPr>
        <w:t xml:space="preserve"> un licenču noma.</w:t>
      </w:r>
    </w:p>
    <w:p w14:paraId="6202553B" w14:textId="5D8CD1DA" w:rsidR="002F0146" w:rsidRPr="00104616" w:rsidRDefault="00056987"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rFonts w:cs="Times New Roman"/>
          <w:szCs w:val="24"/>
        </w:rPr>
        <w:t>I</w:t>
      </w:r>
      <w:r w:rsidRPr="00104616">
        <w:rPr>
          <w:rFonts w:cs="Times New Roman"/>
          <w:szCs w:val="24"/>
        </w:rPr>
        <w:t xml:space="preserve">ekšējās kontroles sistēmas ISO sertifikācijas un uzturēšanas </w:t>
      </w:r>
      <w:r>
        <w:rPr>
          <w:rFonts w:cs="Times New Roman"/>
          <w:szCs w:val="24"/>
        </w:rPr>
        <w:t>izdevumi</w:t>
      </w:r>
      <w:r w:rsidR="00BC37A1">
        <w:rPr>
          <w:rFonts w:cs="Times New Roman"/>
          <w:szCs w:val="24"/>
        </w:rPr>
        <w:t xml:space="preserve"> un ārējo auditu un revīziju izdevumi</w:t>
      </w:r>
      <w:r>
        <w:rPr>
          <w:rFonts w:cs="Times New Roman"/>
          <w:szCs w:val="24"/>
        </w:rPr>
        <w:t>.</w:t>
      </w:r>
    </w:p>
    <w:p w14:paraId="45860E8E" w14:textId="5967D5EF" w:rsidR="002F0146" w:rsidRPr="00104616" w:rsidRDefault="00056987"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rFonts w:cs="Times New Roman"/>
          <w:szCs w:val="24"/>
        </w:rPr>
        <w:t>D</w:t>
      </w:r>
      <w:r w:rsidRPr="00104616">
        <w:rPr>
          <w:rFonts w:cs="Times New Roman"/>
          <w:szCs w:val="24"/>
        </w:rPr>
        <w:t>atu ieguves izmaksas:</w:t>
      </w:r>
    </w:p>
    <w:p w14:paraId="42E929DD" w14:textId="6E4AB3AA" w:rsidR="002F0146" w:rsidRDefault="00056987" w:rsidP="00BC37A1">
      <w:pPr>
        <w:pStyle w:val="ListParagraph"/>
        <w:widowControl/>
        <w:numPr>
          <w:ilvl w:val="2"/>
          <w:numId w:val="1"/>
        </w:numPr>
        <w:autoSpaceDE/>
        <w:autoSpaceDN/>
        <w:adjustRightInd/>
        <w:spacing w:before="120"/>
        <w:ind w:left="851" w:right="45" w:hanging="851"/>
        <w:rPr>
          <w:rFonts w:cs="Times New Roman"/>
          <w:szCs w:val="24"/>
        </w:rPr>
      </w:pPr>
      <w:r w:rsidRPr="00104616">
        <w:rPr>
          <w:rFonts w:cs="Times New Roman"/>
          <w:szCs w:val="24"/>
        </w:rPr>
        <w:t xml:space="preserve">izziņa no Lursoft par </w:t>
      </w:r>
      <w:proofErr w:type="spellStart"/>
      <w:r w:rsidRPr="00104616">
        <w:rPr>
          <w:rFonts w:cs="Times New Roman"/>
          <w:szCs w:val="24"/>
        </w:rPr>
        <w:t>paraksttiesīgajām</w:t>
      </w:r>
      <w:proofErr w:type="spellEnd"/>
      <w:r w:rsidRPr="00104616">
        <w:rPr>
          <w:rFonts w:cs="Times New Roman"/>
          <w:szCs w:val="24"/>
        </w:rPr>
        <w:t xml:space="preserve"> un saistītajām personām</w:t>
      </w:r>
      <w:r w:rsidR="00A901A6">
        <w:rPr>
          <w:rFonts w:cs="Times New Roman"/>
          <w:szCs w:val="24"/>
        </w:rPr>
        <w:t> </w:t>
      </w:r>
      <w:r w:rsidRPr="00104616">
        <w:rPr>
          <w:rFonts w:cs="Times New Roman"/>
          <w:szCs w:val="24"/>
        </w:rPr>
        <w:t>–</w:t>
      </w:r>
      <w:r w:rsidR="00A901A6">
        <w:rPr>
          <w:rFonts w:cs="Times New Roman"/>
          <w:szCs w:val="24"/>
        </w:rPr>
        <w:t> </w:t>
      </w:r>
      <w:r w:rsidRPr="00104616">
        <w:rPr>
          <w:rFonts w:cs="Times New Roman"/>
          <w:szCs w:val="24"/>
        </w:rPr>
        <w:t>izmaksas saskaņā ar Lursoft izcenojumu;</w:t>
      </w:r>
    </w:p>
    <w:p w14:paraId="05F7D9AE" w14:textId="3C9E32B8" w:rsidR="002F0146" w:rsidRPr="00104616" w:rsidRDefault="00154865" w:rsidP="00BC37A1">
      <w:pPr>
        <w:pStyle w:val="ListParagraph"/>
        <w:widowControl/>
        <w:numPr>
          <w:ilvl w:val="2"/>
          <w:numId w:val="1"/>
        </w:numPr>
        <w:autoSpaceDE/>
        <w:autoSpaceDN/>
        <w:adjustRightInd/>
        <w:spacing w:before="120"/>
        <w:ind w:left="851" w:right="45" w:hanging="851"/>
        <w:rPr>
          <w:rFonts w:cs="Times New Roman"/>
          <w:szCs w:val="24"/>
        </w:rPr>
      </w:pPr>
      <w:r>
        <w:rPr>
          <w:rFonts w:cs="Times New Roman"/>
          <w:szCs w:val="24"/>
        </w:rPr>
        <w:t>f</w:t>
      </w:r>
      <w:r w:rsidR="00056987">
        <w:rPr>
          <w:rFonts w:cs="Times New Roman"/>
          <w:szCs w:val="24"/>
        </w:rPr>
        <w:t xml:space="preserve">inansējuma saņēmēju </w:t>
      </w:r>
      <w:r w:rsidR="00056987" w:rsidRPr="00AA6752">
        <w:rPr>
          <w:rFonts w:cs="Times New Roman"/>
          <w:szCs w:val="24"/>
        </w:rPr>
        <w:t>maksātnespēja</w:t>
      </w:r>
      <w:r w:rsidR="00056987">
        <w:rPr>
          <w:rFonts w:cs="Times New Roman"/>
          <w:szCs w:val="24"/>
        </w:rPr>
        <w:t>s procesa uzraudzības monitorings</w:t>
      </w:r>
      <w:r w:rsidR="00A901A6">
        <w:rPr>
          <w:rFonts w:cs="Times New Roman"/>
          <w:szCs w:val="24"/>
        </w:rPr>
        <w:t> </w:t>
      </w:r>
      <w:r w:rsidR="00056987" w:rsidRPr="00104616">
        <w:rPr>
          <w:rFonts w:cs="Times New Roman"/>
          <w:szCs w:val="24"/>
        </w:rPr>
        <w:t>–</w:t>
      </w:r>
      <w:r w:rsidR="00A901A6">
        <w:rPr>
          <w:rFonts w:cs="Times New Roman"/>
          <w:szCs w:val="24"/>
        </w:rPr>
        <w:t> </w:t>
      </w:r>
      <w:r w:rsidR="00056987" w:rsidRPr="00104616">
        <w:rPr>
          <w:rFonts w:cs="Times New Roman"/>
          <w:szCs w:val="24"/>
        </w:rPr>
        <w:t>izmaksas saskaņā ar Lursoft izcenojumu;</w:t>
      </w:r>
    </w:p>
    <w:p w14:paraId="1066AC40" w14:textId="66708852" w:rsidR="002F0146" w:rsidRPr="006108D9" w:rsidRDefault="00154865" w:rsidP="00BC37A1">
      <w:pPr>
        <w:pStyle w:val="ListParagraph"/>
        <w:widowControl/>
        <w:numPr>
          <w:ilvl w:val="2"/>
          <w:numId w:val="1"/>
        </w:numPr>
        <w:autoSpaceDE/>
        <w:autoSpaceDN/>
        <w:adjustRightInd/>
        <w:spacing w:before="120"/>
        <w:ind w:left="851" w:right="45" w:hanging="851"/>
        <w:rPr>
          <w:rFonts w:cs="Times New Roman"/>
          <w:szCs w:val="24"/>
        </w:rPr>
      </w:pPr>
      <w:r w:rsidRPr="006108D9">
        <w:rPr>
          <w:rFonts w:cs="Times New Roman"/>
          <w:szCs w:val="24"/>
        </w:rPr>
        <w:t>f</w:t>
      </w:r>
      <w:r w:rsidR="00C42D15" w:rsidRPr="006108D9">
        <w:rPr>
          <w:rFonts w:cs="Times New Roman"/>
          <w:szCs w:val="24"/>
        </w:rPr>
        <w:t>inansējuma saņēmēju miršanas</w:t>
      </w:r>
      <w:r w:rsidR="006108D9" w:rsidRPr="00582E30">
        <w:rPr>
          <w:rFonts w:cs="Times New Roman"/>
          <w:szCs w:val="24"/>
        </w:rPr>
        <w:t xml:space="preserve"> fakta</w:t>
      </w:r>
      <w:r w:rsidR="00C42D15" w:rsidRPr="006108D9">
        <w:rPr>
          <w:rFonts w:cs="Times New Roman"/>
          <w:szCs w:val="24"/>
        </w:rPr>
        <w:t xml:space="preserve"> monitorings – izmaksas saskaņā ar Lursoft izcenojumu</w:t>
      </w:r>
      <w:r w:rsidR="00056987" w:rsidRPr="006108D9">
        <w:rPr>
          <w:rFonts w:cs="Times New Roman"/>
          <w:szCs w:val="24"/>
        </w:rPr>
        <w:t>.</w:t>
      </w:r>
    </w:p>
    <w:p w14:paraId="4DEAC407" w14:textId="7F870F08" w:rsidR="002F0146" w:rsidRPr="00104616" w:rsidRDefault="00056987"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rFonts w:cs="Times New Roman"/>
          <w:szCs w:val="24"/>
        </w:rPr>
        <w:t>M</w:t>
      </w:r>
      <w:r w:rsidRPr="00104616">
        <w:rPr>
          <w:rFonts w:cs="Times New Roman"/>
          <w:szCs w:val="24"/>
        </w:rPr>
        <w:t>ācību, semināru un konferenču organizēšanas izmaksas:</w:t>
      </w:r>
    </w:p>
    <w:p w14:paraId="426F23E6" w14:textId="06D91364" w:rsidR="002F0146" w:rsidRPr="00104616" w:rsidRDefault="00056987" w:rsidP="00BC37A1">
      <w:pPr>
        <w:pStyle w:val="ListParagraph"/>
        <w:widowControl/>
        <w:numPr>
          <w:ilvl w:val="2"/>
          <w:numId w:val="1"/>
        </w:numPr>
        <w:autoSpaceDE/>
        <w:autoSpaceDN/>
        <w:adjustRightInd/>
        <w:spacing w:before="120"/>
        <w:ind w:left="851" w:right="45" w:hanging="851"/>
        <w:rPr>
          <w:rFonts w:cs="Times New Roman"/>
          <w:szCs w:val="24"/>
        </w:rPr>
      </w:pPr>
      <w:r w:rsidRPr="00104616">
        <w:rPr>
          <w:rFonts w:cs="Times New Roman"/>
          <w:szCs w:val="24"/>
        </w:rPr>
        <w:t xml:space="preserve">telpu nomas izmaksas – ne vairāk kā </w:t>
      </w:r>
      <w:r w:rsidR="00BC37A1">
        <w:rPr>
          <w:rFonts w:cs="Times New Roman"/>
          <w:szCs w:val="24"/>
        </w:rPr>
        <w:t>200</w:t>
      </w:r>
      <w:r>
        <w:rPr>
          <w:rFonts w:cs="Times New Roman"/>
          <w:szCs w:val="24"/>
        </w:rPr>
        <w:t xml:space="preserve"> </w:t>
      </w:r>
      <w:proofErr w:type="spellStart"/>
      <w:r w:rsidRPr="00BC37A1">
        <w:rPr>
          <w:rFonts w:cs="Times New Roman"/>
          <w:i/>
          <w:iCs/>
          <w:szCs w:val="24"/>
        </w:rPr>
        <w:t>euro</w:t>
      </w:r>
      <w:proofErr w:type="spellEnd"/>
      <w:r>
        <w:rPr>
          <w:rFonts w:cs="Times New Roman"/>
          <w:szCs w:val="24"/>
        </w:rPr>
        <w:t xml:space="preserve"> </w:t>
      </w:r>
      <w:r w:rsidRPr="00104616">
        <w:rPr>
          <w:rFonts w:cs="Times New Roman"/>
          <w:szCs w:val="24"/>
        </w:rPr>
        <w:t>par telpu nomu diennaktī;</w:t>
      </w:r>
    </w:p>
    <w:p w14:paraId="3CC102D9" w14:textId="62EFD462" w:rsidR="002F0146" w:rsidRPr="00104616" w:rsidRDefault="00056987" w:rsidP="00BC37A1">
      <w:pPr>
        <w:pStyle w:val="ListParagraph"/>
        <w:widowControl/>
        <w:numPr>
          <w:ilvl w:val="2"/>
          <w:numId w:val="1"/>
        </w:numPr>
        <w:autoSpaceDE/>
        <w:autoSpaceDN/>
        <w:adjustRightInd/>
        <w:spacing w:before="120"/>
        <w:ind w:left="851" w:right="45" w:hanging="851"/>
        <w:rPr>
          <w:rFonts w:cs="Times New Roman"/>
          <w:szCs w:val="24"/>
        </w:rPr>
      </w:pPr>
      <w:r w:rsidRPr="00104616">
        <w:rPr>
          <w:rFonts w:cs="Times New Roman"/>
          <w:szCs w:val="24"/>
        </w:rPr>
        <w:t xml:space="preserve">kafijas paužu izmaksas – ne vairāk kā </w:t>
      </w:r>
      <w:r w:rsidR="00BC37A1">
        <w:rPr>
          <w:rFonts w:cs="Times New Roman"/>
          <w:szCs w:val="24"/>
        </w:rPr>
        <w:t>5</w:t>
      </w:r>
      <w:r>
        <w:rPr>
          <w:rFonts w:cs="Times New Roman"/>
          <w:szCs w:val="24"/>
        </w:rPr>
        <w:t xml:space="preserve"> </w:t>
      </w:r>
      <w:proofErr w:type="spellStart"/>
      <w:r w:rsidRPr="00BC37A1">
        <w:rPr>
          <w:rFonts w:cs="Times New Roman"/>
          <w:i/>
          <w:iCs/>
          <w:szCs w:val="24"/>
        </w:rPr>
        <w:t>euro</w:t>
      </w:r>
      <w:proofErr w:type="spellEnd"/>
      <w:r w:rsidRPr="00104616">
        <w:rPr>
          <w:rFonts w:cs="Times New Roman"/>
          <w:szCs w:val="24"/>
        </w:rPr>
        <w:t xml:space="preserve"> uz vienu dalībnieku;</w:t>
      </w:r>
    </w:p>
    <w:p w14:paraId="539725EF" w14:textId="25F9578F" w:rsidR="002F0146" w:rsidRPr="00104616" w:rsidRDefault="00056987" w:rsidP="00BC37A1">
      <w:pPr>
        <w:pStyle w:val="ListParagraph"/>
        <w:widowControl/>
        <w:numPr>
          <w:ilvl w:val="2"/>
          <w:numId w:val="1"/>
        </w:numPr>
        <w:autoSpaceDE/>
        <w:autoSpaceDN/>
        <w:adjustRightInd/>
        <w:spacing w:before="120"/>
        <w:ind w:left="851" w:right="45" w:hanging="851"/>
        <w:rPr>
          <w:rFonts w:cs="Times New Roman"/>
          <w:szCs w:val="24"/>
        </w:rPr>
      </w:pPr>
      <w:r w:rsidRPr="00104616">
        <w:rPr>
          <w:rFonts w:cs="Times New Roman"/>
          <w:szCs w:val="24"/>
        </w:rPr>
        <w:t xml:space="preserve">lektoru pakalpojumi – ne vairāk kā </w:t>
      </w:r>
      <w:r w:rsidR="00BC37A1">
        <w:rPr>
          <w:rFonts w:cs="Times New Roman"/>
          <w:szCs w:val="24"/>
        </w:rPr>
        <w:t>20</w:t>
      </w:r>
      <w:r w:rsidRPr="00104616">
        <w:rPr>
          <w:rFonts w:cs="Times New Roman"/>
          <w:szCs w:val="24"/>
        </w:rPr>
        <w:t>0</w:t>
      </w:r>
      <w:r>
        <w:rPr>
          <w:rFonts w:cs="Times New Roman"/>
          <w:szCs w:val="24"/>
        </w:rPr>
        <w:t xml:space="preserve"> </w:t>
      </w:r>
      <w:proofErr w:type="spellStart"/>
      <w:r w:rsidRPr="00BC37A1">
        <w:rPr>
          <w:rFonts w:cs="Times New Roman"/>
          <w:i/>
          <w:iCs/>
          <w:szCs w:val="24"/>
        </w:rPr>
        <w:t>euro</w:t>
      </w:r>
      <w:proofErr w:type="spellEnd"/>
      <w:r w:rsidRPr="00104616">
        <w:rPr>
          <w:rFonts w:cs="Times New Roman"/>
          <w:szCs w:val="24"/>
        </w:rPr>
        <w:t xml:space="preserve"> vienam lektoram par vienu semināru;</w:t>
      </w:r>
    </w:p>
    <w:p w14:paraId="7F2D2D5C" w14:textId="77777777" w:rsidR="00BC37A1" w:rsidRPr="00887BBE" w:rsidRDefault="00BC37A1" w:rsidP="00BC37A1">
      <w:pPr>
        <w:pStyle w:val="ListParagraph"/>
        <w:widowControl/>
        <w:numPr>
          <w:ilvl w:val="1"/>
          <w:numId w:val="1"/>
        </w:numPr>
        <w:autoSpaceDE/>
        <w:autoSpaceDN/>
        <w:adjustRightInd/>
        <w:spacing w:before="120"/>
        <w:ind w:left="567" w:right="45" w:hanging="567"/>
        <w:contextualSpacing w:val="0"/>
        <w:rPr>
          <w:rFonts w:cs="Times New Roman"/>
          <w:szCs w:val="24"/>
        </w:rPr>
      </w:pPr>
      <w:r>
        <w:rPr>
          <w:szCs w:val="24"/>
        </w:rPr>
        <w:t>Pārējos</w:t>
      </w:r>
      <w:r w:rsidRPr="00887BBE">
        <w:rPr>
          <w:szCs w:val="24"/>
        </w:rPr>
        <w:t xml:space="preserve"> izdevumus, kuri ir attiecināmi gan uz deleģēšanas līguma izpildi, gan uz saimnieciskās darbības pakalpojumu nodrošināšanu, plāno un faktiski noraksta pēc proporcijas </w:t>
      </w:r>
      <w:r>
        <w:rPr>
          <w:szCs w:val="24"/>
        </w:rPr>
        <w:t>1</w:t>
      </w:r>
      <w:r w:rsidRPr="00887BBE">
        <w:rPr>
          <w:szCs w:val="24"/>
        </w:rPr>
        <w:t xml:space="preserve">0% saimnieciskā darbība un </w:t>
      </w:r>
      <w:r>
        <w:rPr>
          <w:szCs w:val="24"/>
        </w:rPr>
        <w:t>9</w:t>
      </w:r>
      <w:r w:rsidRPr="00887BBE">
        <w:rPr>
          <w:szCs w:val="24"/>
        </w:rPr>
        <w:t>0% deleģēšanas līgums, bet proporcija var mainīties.</w:t>
      </w:r>
    </w:p>
    <w:p w14:paraId="4A518F6E" w14:textId="6BB277BD" w:rsidR="002F0146" w:rsidRPr="00BC37A1" w:rsidRDefault="00F81201" w:rsidP="00BC37A1">
      <w:pPr>
        <w:pStyle w:val="ListParagraph"/>
        <w:widowControl/>
        <w:numPr>
          <w:ilvl w:val="1"/>
          <w:numId w:val="1"/>
        </w:numPr>
        <w:autoSpaceDE/>
        <w:autoSpaceDN/>
        <w:adjustRightInd/>
        <w:spacing w:before="120"/>
        <w:ind w:left="567" w:right="45" w:hanging="567"/>
        <w:contextualSpacing w:val="0"/>
        <w:rPr>
          <w:szCs w:val="24"/>
        </w:rPr>
      </w:pPr>
      <w:r>
        <w:rPr>
          <w:szCs w:val="24"/>
        </w:rPr>
        <w:lastRenderedPageBreak/>
        <w:t>V</w:t>
      </w:r>
      <w:r w:rsidR="00056987" w:rsidRPr="00BC37A1">
        <w:rPr>
          <w:szCs w:val="24"/>
        </w:rPr>
        <w:t xml:space="preserve">ismaz </w:t>
      </w:r>
      <w:r>
        <w:rPr>
          <w:szCs w:val="24"/>
        </w:rPr>
        <w:t>septiņas</w:t>
      </w:r>
      <w:r w:rsidR="00056987" w:rsidRPr="00BC37A1">
        <w:rPr>
          <w:szCs w:val="24"/>
        </w:rPr>
        <w:t xml:space="preserve"> dienas iepriekš rakstiski saskaņo</w:t>
      </w:r>
      <w:r>
        <w:rPr>
          <w:szCs w:val="24"/>
        </w:rPr>
        <w:t>jot</w:t>
      </w:r>
      <w:r w:rsidR="00056987" w:rsidRPr="00BC37A1">
        <w:rPr>
          <w:szCs w:val="24"/>
        </w:rPr>
        <w:t xml:space="preserve"> ar </w:t>
      </w:r>
      <w:r w:rsidR="004F7899" w:rsidRPr="00BC37A1">
        <w:rPr>
          <w:szCs w:val="24"/>
        </w:rPr>
        <w:t>Ministriju</w:t>
      </w:r>
      <w:r>
        <w:rPr>
          <w:szCs w:val="24"/>
        </w:rPr>
        <w:t>, Fonds var vienoties par citu izmaksu attiecināšanu un uzskaites principu piemērošanu</w:t>
      </w:r>
      <w:r w:rsidR="004F7899" w:rsidRPr="00BC37A1">
        <w:rPr>
          <w:szCs w:val="24"/>
        </w:rPr>
        <w:t>.</w:t>
      </w:r>
    </w:p>
    <w:p w14:paraId="35F85EAE" w14:textId="77777777" w:rsidR="002F0146" w:rsidRDefault="002F0146" w:rsidP="002F0146">
      <w:pPr>
        <w:pStyle w:val="ListParagraph"/>
        <w:widowControl/>
        <w:autoSpaceDE/>
        <w:autoSpaceDN/>
        <w:adjustRightInd/>
        <w:ind w:left="0" w:right="45"/>
        <w:contextualSpacing w:val="0"/>
        <w:rPr>
          <w:rFonts w:cs="Times New Roman"/>
          <w:b/>
          <w:szCs w:val="24"/>
        </w:rPr>
      </w:pPr>
    </w:p>
    <w:sectPr w:rsidR="002F0146" w:rsidSect="00104616">
      <w:headerReference w:type="default" r:id="rId7"/>
      <w:footerReference w:type="default" r:id="rId8"/>
      <w:pgSz w:w="12240" w:h="15840"/>
      <w:pgMar w:top="1134" w:right="1134" w:bottom="1134" w:left="1701" w:header="720" w:footer="720" w:gutter="0"/>
      <w:pgNumType w:start="1"/>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2377B" w14:textId="77777777" w:rsidR="00446C5B" w:rsidRDefault="00446C5B">
      <w:r>
        <w:separator/>
      </w:r>
    </w:p>
  </w:endnote>
  <w:endnote w:type="continuationSeparator" w:id="0">
    <w:p w14:paraId="3596B9BB" w14:textId="77777777" w:rsidR="00446C5B" w:rsidRDefault="0044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972205454"/>
      <w:docPartObj>
        <w:docPartGallery w:val="Page Numbers (Bottom of Page)"/>
        <w:docPartUnique/>
      </w:docPartObj>
    </w:sdtPr>
    <w:sdtEndPr>
      <w:rPr>
        <w:noProof/>
      </w:rPr>
    </w:sdtEndPr>
    <w:sdtContent>
      <w:p w14:paraId="38F229D6" w14:textId="13D2059D" w:rsidR="00420B12" w:rsidRPr="00420B12" w:rsidRDefault="00420B12" w:rsidP="00420B12">
        <w:pPr>
          <w:pStyle w:val="Footer"/>
          <w:jc w:val="right"/>
          <w:rPr>
            <w:sz w:val="20"/>
          </w:rPr>
        </w:pPr>
        <w:r w:rsidRPr="00420B12">
          <w:rPr>
            <w:sz w:val="20"/>
          </w:rPr>
          <w:fldChar w:fldCharType="begin"/>
        </w:r>
        <w:r w:rsidRPr="00420B12">
          <w:rPr>
            <w:sz w:val="20"/>
          </w:rPr>
          <w:instrText xml:space="preserve"> PAGE   \* MERGEFORMAT </w:instrText>
        </w:r>
        <w:r w:rsidRPr="00420B12">
          <w:rPr>
            <w:sz w:val="20"/>
          </w:rPr>
          <w:fldChar w:fldCharType="separate"/>
        </w:r>
        <w:r w:rsidRPr="00420B12">
          <w:rPr>
            <w:noProof/>
            <w:sz w:val="20"/>
          </w:rPr>
          <w:t>2</w:t>
        </w:r>
        <w:r w:rsidRPr="00420B12">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4B78F" w14:textId="77777777" w:rsidR="00446C5B" w:rsidRDefault="00446C5B">
      <w:r>
        <w:separator/>
      </w:r>
    </w:p>
  </w:footnote>
  <w:footnote w:type="continuationSeparator" w:id="0">
    <w:p w14:paraId="0A84A6C9" w14:textId="77777777" w:rsidR="00446C5B" w:rsidRDefault="00446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659477"/>
      <w:docPartObj>
        <w:docPartGallery w:val="Page Numbers (Top of Page)"/>
        <w:docPartUnique/>
      </w:docPartObj>
    </w:sdtPr>
    <w:sdtEndPr>
      <w:rPr>
        <w:noProof/>
      </w:rPr>
    </w:sdtEndPr>
    <w:sdtContent>
      <w:p w14:paraId="37393BE5" w14:textId="77777777" w:rsidR="00420B12" w:rsidRDefault="00420B12" w:rsidP="00420B12">
        <w:pPr>
          <w:pStyle w:val="Header"/>
          <w:jc w:val="right"/>
          <w:rPr>
            <w:rFonts w:ascii="Arial" w:hAnsi="Arial"/>
            <w:smallCaps/>
            <w:color w:val="333333"/>
            <w:sz w:val="16"/>
            <w:szCs w:val="16"/>
          </w:rPr>
        </w:pPr>
        <w:r w:rsidRPr="00572847">
          <w:rPr>
            <w:rFonts w:ascii="Arial" w:hAnsi="Arial"/>
            <w:smallCaps/>
            <w:color w:val="333333"/>
            <w:sz w:val="16"/>
            <w:szCs w:val="16"/>
          </w:rPr>
          <w:t>Atsevišķu pārvaldes uzdevumu deleģēšanas līguma</w:t>
        </w:r>
        <w:r>
          <w:rPr>
            <w:rFonts w:ascii="Arial" w:hAnsi="Arial"/>
            <w:smallCaps/>
            <w:color w:val="333333"/>
            <w:sz w:val="16"/>
            <w:szCs w:val="16"/>
          </w:rPr>
          <w:t xml:space="preserve"> </w:t>
        </w:r>
        <w:r w:rsidRPr="00572847">
          <w:rPr>
            <w:rFonts w:ascii="Arial" w:hAnsi="Arial"/>
            <w:smallCaps/>
            <w:color w:val="333333"/>
            <w:sz w:val="16"/>
            <w:szCs w:val="16"/>
          </w:rPr>
          <w:t xml:space="preserve">starp </w:t>
        </w:r>
        <w:r>
          <w:rPr>
            <w:rFonts w:ascii="Arial" w:hAnsi="Arial"/>
            <w:smallCaps/>
            <w:color w:val="333333"/>
            <w:sz w:val="16"/>
            <w:szCs w:val="16"/>
          </w:rPr>
          <w:t>klimata un enerģētikas</w:t>
        </w:r>
        <w:r w:rsidRPr="00572847">
          <w:rPr>
            <w:rFonts w:ascii="Arial" w:hAnsi="Arial"/>
            <w:smallCaps/>
            <w:color w:val="333333"/>
            <w:sz w:val="16"/>
            <w:szCs w:val="16"/>
          </w:rPr>
          <w:t xml:space="preserve"> ministriju un</w:t>
        </w:r>
        <w:r w:rsidRPr="00A14FB3">
          <w:rPr>
            <w:b/>
            <w:szCs w:val="24"/>
          </w:rPr>
          <w:t xml:space="preserve"> </w:t>
        </w:r>
        <w:r>
          <w:rPr>
            <w:rFonts w:ascii="Arial" w:hAnsi="Arial"/>
            <w:smallCaps/>
            <w:color w:val="333333"/>
            <w:sz w:val="16"/>
            <w:szCs w:val="16"/>
          </w:rPr>
          <w:t xml:space="preserve">Sabiedrību </w:t>
        </w:r>
        <w:r w:rsidRPr="00A14FB3">
          <w:rPr>
            <w:rFonts w:ascii="Arial" w:hAnsi="Arial"/>
            <w:smallCaps/>
            <w:color w:val="333333"/>
            <w:sz w:val="16"/>
            <w:szCs w:val="16"/>
          </w:rPr>
          <w:t>ar ierobežotu atbildību “Vides investīciju fonds”</w:t>
        </w:r>
        <w:r w:rsidRPr="001F3ACD">
          <w:rPr>
            <w:b/>
            <w:noProof/>
            <w:sz w:val="22"/>
          </w:rPr>
          <w:t xml:space="preserve"> </w:t>
        </w:r>
      </w:p>
      <w:p w14:paraId="266EDD59" w14:textId="13132B2D" w:rsidR="00E04425" w:rsidRPr="00420B12" w:rsidRDefault="00420B12" w:rsidP="00420B12">
        <w:pPr>
          <w:pStyle w:val="Header"/>
          <w:jc w:val="right"/>
          <w:rPr>
            <w:b/>
          </w:rPr>
        </w:pPr>
        <w:r>
          <w:rPr>
            <w:rFonts w:ascii="Arial" w:hAnsi="Arial"/>
            <w:b/>
            <w:smallCaps/>
            <w:color w:val="333333"/>
            <w:sz w:val="16"/>
            <w:szCs w:val="16"/>
          </w:rPr>
          <w:t>3</w:t>
        </w:r>
        <w:r w:rsidRPr="00A14FB3">
          <w:rPr>
            <w:rFonts w:ascii="Arial" w:hAnsi="Arial"/>
            <w:b/>
            <w:smallCaps/>
            <w:color w:val="333333"/>
            <w:sz w:val="16"/>
            <w:szCs w:val="16"/>
          </w:rPr>
          <w:t>.</w:t>
        </w:r>
        <w:r>
          <w:rPr>
            <w:rFonts w:ascii="Arial" w:hAnsi="Arial"/>
            <w:b/>
            <w:smallCaps/>
            <w:color w:val="333333"/>
            <w:sz w:val="16"/>
            <w:szCs w:val="16"/>
          </w:rPr>
          <w:t> </w:t>
        </w:r>
        <w:r w:rsidRPr="00A14FB3">
          <w:rPr>
            <w:rFonts w:ascii="Arial" w:hAnsi="Arial"/>
            <w:b/>
            <w:smallCaps/>
            <w:color w:val="333333"/>
            <w:sz w:val="16"/>
            <w:szCs w:val="16"/>
          </w:rPr>
          <w:t>pielikums</w:t>
        </w:r>
      </w:p>
    </w:sdtContent>
  </w:sdt>
  <w:p w14:paraId="1B253C58" w14:textId="6F9E494C" w:rsidR="00EB5857" w:rsidRPr="006C693D" w:rsidRDefault="00EB5857" w:rsidP="006C693D">
    <w:pPr>
      <w:pStyle w:val="Header"/>
      <w:jc w:val="right"/>
      <w:rPr>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97397A"/>
    <w:multiLevelType w:val="multilevel"/>
    <w:tmpl w:val="6A40A37C"/>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5441913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998"/>
    <w:rsid w:val="00012E5E"/>
    <w:rsid w:val="00013B94"/>
    <w:rsid w:val="00016FEE"/>
    <w:rsid w:val="00017C40"/>
    <w:rsid w:val="000237D8"/>
    <w:rsid w:val="00023C49"/>
    <w:rsid w:val="000273A4"/>
    <w:rsid w:val="00056987"/>
    <w:rsid w:val="00060630"/>
    <w:rsid w:val="00070569"/>
    <w:rsid w:val="0007190C"/>
    <w:rsid w:val="00072A2C"/>
    <w:rsid w:val="000840EF"/>
    <w:rsid w:val="0009257F"/>
    <w:rsid w:val="000929DA"/>
    <w:rsid w:val="00093584"/>
    <w:rsid w:val="000A283D"/>
    <w:rsid w:val="000A38DF"/>
    <w:rsid w:val="000A7A46"/>
    <w:rsid w:val="000B61D4"/>
    <w:rsid w:val="000C314E"/>
    <w:rsid w:val="000D5D85"/>
    <w:rsid w:val="000D776A"/>
    <w:rsid w:val="000E44DD"/>
    <w:rsid w:val="000F4DAF"/>
    <w:rsid w:val="00104616"/>
    <w:rsid w:val="00104698"/>
    <w:rsid w:val="00111E92"/>
    <w:rsid w:val="00125083"/>
    <w:rsid w:val="001352F3"/>
    <w:rsid w:val="00151560"/>
    <w:rsid w:val="0015407F"/>
    <w:rsid w:val="00154865"/>
    <w:rsid w:val="001575B5"/>
    <w:rsid w:val="0016319B"/>
    <w:rsid w:val="00166DBE"/>
    <w:rsid w:val="00183135"/>
    <w:rsid w:val="00191D45"/>
    <w:rsid w:val="001A31C3"/>
    <w:rsid w:val="001A5839"/>
    <w:rsid w:val="001B6EEB"/>
    <w:rsid w:val="001D0B38"/>
    <w:rsid w:val="001D2B88"/>
    <w:rsid w:val="001D68D9"/>
    <w:rsid w:val="001D77B1"/>
    <w:rsid w:val="00202D21"/>
    <w:rsid w:val="0020795A"/>
    <w:rsid w:val="00211EB3"/>
    <w:rsid w:val="00221790"/>
    <w:rsid w:val="00235A56"/>
    <w:rsid w:val="00240D6A"/>
    <w:rsid w:val="00246BA3"/>
    <w:rsid w:val="0025463E"/>
    <w:rsid w:val="00260DB8"/>
    <w:rsid w:val="00275319"/>
    <w:rsid w:val="0028395E"/>
    <w:rsid w:val="00285E80"/>
    <w:rsid w:val="002877A3"/>
    <w:rsid w:val="0029378D"/>
    <w:rsid w:val="00293FD5"/>
    <w:rsid w:val="002978DB"/>
    <w:rsid w:val="002B0755"/>
    <w:rsid w:val="002D0E24"/>
    <w:rsid w:val="002F0146"/>
    <w:rsid w:val="002F0349"/>
    <w:rsid w:val="00317AA8"/>
    <w:rsid w:val="00331BE4"/>
    <w:rsid w:val="003330EE"/>
    <w:rsid w:val="003353A5"/>
    <w:rsid w:val="003378DB"/>
    <w:rsid w:val="0033791E"/>
    <w:rsid w:val="00351E64"/>
    <w:rsid w:val="00353A04"/>
    <w:rsid w:val="00367A3A"/>
    <w:rsid w:val="0038654D"/>
    <w:rsid w:val="00395B21"/>
    <w:rsid w:val="003A1EFA"/>
    <w:rsid w:val="003A24AD"/>
    <w:rsid w:val="003A79B5"/>
    <w:rsid w:val="003B4378"/>
    <w:rsid w:val="003C3B87"/>
    <w:rsid w:val="003F07D8"/>
    <w:rsid w:val="003F79DE"/>
    <w:rsid w:val="004020C1"/>
    <w:rsid w:val="00415746"/>
    <w:rsid w:val="00420B12"/>
    <w:rsid w:val="00436C11"/>
    <w:rsid w:val="0044123E"/>
    <w:rsid w:val="00446C5B"/>
    <w:rsid w:val="00460514"/>
    <w:rsid w:val="004627BC"/>
    <w:rsid w:val="0046613A"/>
    <w:rsid w:val="00491082"/>
    <w:rsid w:val="004923AA"/>
    <w:rsid w:val="004A11CE"/>
    <w:rsid w:val="004A20BD"/>
    <w:rsid w:val="004C0209"/>
    <w:rsid w:val="004C1237"/>
    <w:rsid w:val="004C48A2"/>
    <w:rsid w:val="004D5768"/>
    <w:rsid w:val="004E5534"/>
    <w:rsid w:val="004F2841"/>
    <w:rsid w:val="004F7899"/>
    <w:rsid w:val="00500314"/>
    <w:rsid w:val="00510F73"/>
    <w:rsid w:val="00524775"/>
    <w:rsid w:val="005254E6"/>
    <w:rsid w:val="00541C1A"/>
    <w:rsid w:val="005507E5"/>
    <w:rsid w:val="00550EB4"/>
    <w:rsid w:val="00553ACE"/>
    <w:rsid w:val="005644B1"/>
    <w:rsid w:val="00566C89"/>
    <w:rsid w:val="00574731"/>
    <w:rsid w:val="00582E30"/>
    <w:rsid w:val="005909C5"/>
    <w:rsid w:val="00595941"/>
    <w:rsid w:val="005A002C"/>
    <w:rsid w:val="005A3C11"/>
    <w:rsid w:val="005B3095"/>
    <w:rsid w:val="005B7DCB"/>
    <w:rsid w:val="005C644D"/>
    <w:rsid w:val="005D4D7A"/>
    <w:rsid w:val="005E30C2"/>
    <w:rsid w:val="005F0DE4"/>
    <w:rsid w:val="005F433D"/>
    <w:rsid w:val="006001EB"/>
    <w:rsid w:val="00606342"/>
    <w:rsid w:val="006108D9"/>
    <w:rsid w:val="006119C2"/>
    <w:rsid w:val="006137D1"/>
    <w:rsid w:val="00614D0D"/>
    <w:rsid w:val="00615110"/>
    <w:rsid w:val="00624214"/>
    <w:rsid w:val="0062616C"/>
    <w:rsid w:val="0063317B"/>
    <w:rsid w:val="006424D9"/>
    <w:rsid w:val="006426D7"/>
    <w:rsid w:val="00651D71"/>
    <w:rsid w:val="00671EAA"/>
    <w:rsid w:val="00676C34"/>
    <w:rsid w:val="006974F3"/>
    <w:rsid w:val="006B3EB3"/>
    <w:rsid w:val="006B4F3F"/>
    <w:rsid w:val="006C0489"/>
    <w:rsid w:val="006C693D"/>
    <w:rsid w:val="006C7B8C"/>
    <w:rsid w:val="006D2FB2"/>
    <w:rsid w:val="006D4366"/>
    <w:rsid w:val="006D6C45"/>
    <w:rsid w:val="00705105"/>
    <w:rsid w:val="00716161"/>
    <w:rsid w:val="00717FDB"/>
    <w:rsid w:val="00735206"/>
    <w:rsid w:val="00747458"/>
    <w:rsid w:val="007703E7"/>
    <w:rsid w:val="00773B40"/>
    <w:rsid w:val="00780C16"/>
    <w:rsid w:val="007824EF"/>
    <w:rsid w:val="0079256D"/>
    <w:rsid w:val="007953D7"/>
    <w:rsid w:val="00795664"/>
    <w:rsid w:val="0079579D"/>
    <w:rsid w:val="00796BF6"/>
    <w:rsid w:val="00797B7F"/>
    <w:rsid w:val="007A2A89"/>
    <w:rsid w:val="007B56E3"/>
    <w:rsid w:val="007B77CD"/>
    <w:rsid w:val="007C3997"/>
    <w:rsid w:val="007C73A2"/>
    <w:rsid w:val="007C790D"/>
    <w:rsid w:val="007D7D8E"/>
    <w:rsid w:val="007F30A1"/>
    <w:rsid w:val="007F483E"/>
    <w:rsid w:val="008021CE"/>
    <w:rsid w:val="00810B30"/>
    <w:rsid w:val="0081405D"/>
    <w:rsid w:val="00817606"/>
    <w:rsid w:val="008337BB"/>
    <w:rsid w:val="008428DF"/>
    <w:rsid w:val="00853C79"/>
    <w:rsid w:val="00857521"/>
    <w:rsid w:val="00861FDC"/>
    <w:rsid w:val="00863C94"/>
    <w:rsid w:val="00864071"/>
    <w:rsid w:val="00870F93"/>
    <w:rsid w:val="0087158F"/>
    <w:rsid w:val="00875AAB"/>
    <w:rsid w:val="00875C5A"/>
    <w:rsid w:val="00882C73"/>
    <w:rsid w:val="00887645"/>
    <w:rsid w:val="00887BBE"/>
    <w:rsid w:val="00887E0A"/>
    <w:rsid w:val="008A6C8F"/>
    <w:rsid w:val="008A7C69"/>
    <w:rsid w:val="008B13EF"/>
    <w:rsid w:val="008B7A01"/>
    <w:rsid w:val="008C3602"/>
    <w:rsid w:val="008D2036"/>
    <w:rsid w:val="008D33A6"/>
    <w:rsid w:val="008D442A"/>
    <w:rsid w:val="008F108F"/>
    <w:rsid w:val="008F180C"/>
    <w:rsid w:val="008F1CC4"/>
    <w:rsid w:val="008F5E61"/>
    <w:rsid w:val="00903F7C"/>
    <w:rsid w:val="00904698"/>
    <w:rsid w:val="0090479E"/>
    <w:rsid w:val="00915F5A"/>
    <w:rsid w:val="00917236"/>
    <w:rsid w:val="0092205C"/>
    <w:rsid w:val="0092461C"/>
    <w:rsid w:val="00945F7C"/>
    <w:rsid w:val="009566D3"/>
    <w:rsid w:val="0095752B"/>
    <w:rsid w:val="00960E5D"/>
    <w:rsid w:val="00961445"/>
    <w:rsid w:val="00966CFC"/>
    <w:rsid w:val="00987B4E"/>
    <w:rsid w:val="009B1A99"/>
    <w:rsid w:val="009B7EBC"/>
    <w:rsid w:val="009C1CB5"/>
    <w:rsid w:val="00A02511"/>
    <w:rsid w:val="00A04E74"/>
    <w:rsid w:val="00A05E27"/>
    <w:rsid w:val="00A10BBC"/>
    <w:rsid w:val="00A1380D"/>
    <w:rsid w:val="00A20714"/>
    <w:rsid w:val="00A30EBA"/>
    <w:rsid w:val="00A36B8A"/>
    <w:rsid w:val="00A46ACA"/>
    <w:rsid w:val="00A5293A"/>
    <w:rsid w:val="00A536AE"/>
    <w:rsid w:val="00A57C07"/>
    <w:rsid w:val="00A57F60"/>
    <w:rsid w:val="00A61B66"/>
    <w:rsid w:val="00A63222"/>
    <w:rsid w:val="00A65998"/>
    <w:rsid w:val="00A66BB0"/>
    <w:rsid w:val="00A66CEA"/>
    <w:rsid w:val="00A72323"/>
    <w:rsid w:val="00A742F1"/>
    <w:rsid w:val="00A86C92"/>
    <w:rsid w:val="00A86E29"/>
    <w:rsid w:val="00A87A2F"/>
    <w:rsid w:val="00A901A6"/>
    <w:rsid w:val="00AA6752"/>
    <w:rsid w:val="00AB370F"/>
    <w:rsid w:val="00AE6F3E"/>
    <w:rsid w:val="00AE702E"/>
    <w:rsid w:val="00AF05ED"/>
    <w:rsid w:val="00B0615B"/>
    <w:rsid w:val="00B65A26"/>
    <w:rsid w:val="00B74807"/>
    <w:rsid w:val="00B81768"/>
    <w:rsid w:val="00B82349"/>
    <w:rsid w:val="00B86DFB"/>
    <w:rsid w:val="00B87C05"/>
    <w:rsid w:val="00B87E06"/>
    <w:rsid w:val="00B92BE7"/>
    <w:rsid w:val="00B97159"/>
    <w:rsid w:val="00BA4FE2"/>
    <w:rsid w:val="00BA5347"/>
    <w:rsid w:val="00BA7B5E"/>
    <w:rsid w:val="00BB0F52"/>
    <w:rsid w:val="00BB1035"/>
    <w:rsid w:val="00BB6CDC"/>
    <w:rsid w:val="00BC055C"/>
    <w:rsid w:val="00BC1341"/>
    <w:rsid w:val="00BC37A1"/>
    <w:rsid w:val="00BC683E"/>
    <w:rsid w:val="00BD3854"/>
    <w:rsid w:val="00BE0361"/>
    <w:rsid w:val="00BE480A"/>
    <w:rsid w:val="00BF072E"/>
    <w:rsid w:val="00BF5B8F"/>
    <w:rsid w:val="00C14171"/>
    <w:rsid w:val="00C42D15"/>
    <w:rsid w:val="00C470D6"/>
    <w:rsid w:val="00C47F26"/>
    <w:rsid w:val="00C613CF"/>
    <w:rsid w:val="00C67736"/>
    <w:rsid w:val="00C7462A"/>
    <w:rsid w:val="00C76712"/>
    <w:rsid w:val="00C76EAD"/>
    <w:rsid w:val="00C81091"/>
    <w:rsid w:val="00C812DC"/>
    <w:rsid w:val="00CA688F"/>
    <w:rsid w:val="00CB1891"/>
    <w:rsid w:val="00CD137D"/>
    <w:rsid w:val="00CD351C"/>
    <w:rsid w:val="00CE6B9F"/>
    <w:rsid w:val="00CF0B85"/>
    <w:rsid w:val="00D00B17"/>
    <w:rsid w:val="00D13004"/>
    <w:rsid w:val="00D21D71"/>
    <w:rsid w:val="00D27648"/>
    <w:rsid w:val="00D31880"/>
    <w:rsid w:val="00D44CEA"/>
    <w:rsid w:val="00D55084"/>
    <w:rsid w:val="00D72EDE"/>
    <w:rsid w:val="00D83A3D"/>
    <w:rsid w:val="00D93454"/>
    <w:rsid w:val="00D95B80"/>
    <w:rsid w:val="00DA0953"/>
    <w:rsid w:val="00DB2438"/>
    <w:rsid w:val="00DB5203"/>
    <w:rsid w:val="00DE6044"/>
    <w:rsid w:val="00DF004D"/>
    <w:rsid w:val="00DF0355"/>
    <w:rsid w:val="00DF4B18"/>
    <w:rsid w:val="00E03734"/>
    <w:rsid w:val="00E03BD3"/>
    <w:rsid w:val="00E04425"/>
    <w:rsid w:val="00E05FC0"/>
    <w:rsid w:val="00E1444B"/>
    <w:rsid w:val="00E2325C"/>
    <w:rsid w:val="00E326DD"/>
    <w:rsid w:val="00E42AD5"/>
    <w:rsid w:val="00E45C7B"/>
    <w:rsid w:val="00E517FF"/>
    <w:rsid w:val="00E7736C"/>
    <w:rsid w:val="00E94002"/>
    <w:rsid w:val="00E9448A"/>
    <w:rsid w:val="00EB5857"/>
    <w:rsid w:val="00EC1D27"/>
    <w:rsid w:val="00ED2BEA"/>
    <w:rsid w:val="00EE1774"/>
    <w:rsid w:val="00EE4996"/>
    <w:rsid w:val="00EE6E44"/>
    <w:rsid w:val="00EE7D30"/>
    <w:rsid w:val="00EF612E"/>
    <w:rsid w:val="00F00E56"/>
    <w:rsid w:val="00F1602A"/>
    <w:rsid w:val="00F2291B"/>
    <w:rsid w:val="00F26D5A"/>
    <w:rsid w:val="00F3346D"/>
    <w:rsid w:val="00F37C4B"/>
    <w:rsid w:val="00F400B7"/>
    <w:rsid w:val="00F449DF"/>
    <w:rsid w:val="00F63D76"/>
    <w:rsid w:val="00F70D4F"/>
    <w:rsid w:val="00F710A6"/>
    <w:rsid w:val="00F81201"/>
    <w:rsid w:val="00F834CB"/>
    <w:rsid w:val="00F85E15"/>
    <w:rsid w:val="00F943E6"/>
    <w:rsid w:val="00F97921"/>
    <w:rsid w:val="00FA1A75"/>
    <w:rsid w:val="00FB3CC5"/>
    <w:rsid w:val="00FB645C"/>
    <w:rsid w:val="00FC0E72"/>
    <w:rsid w:val="00FD1A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CD900A"/>
  <w15:docId w15:val="{1C24E8F9-659D-4B5D-82FA-B272440E6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07E5"/>
    <w:pPr>
      <w:widowControl w:val="0"/>
      <w:autoSpaceDE w:val="0"/>
      <w:autoSpaceDN w:val="0"/>
      <w:adjustRightInd w:val="0"/>
      <w:jc w:val="both"/>
    </w:pPr>
    <w:rPr>
      <w:rFonts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211EB3"/>
    <w:pPr>
      <w:widowControl/>
      <w:autoSpaceDE/>
      <w:autoSpaceDN/>
      <w:adjustRightInd/>
      <w:spacing w:before="75" w:after="75"/>
      <w:ind w:firstLine="375"/>
    </w:pPr>
    <w:rPr>
      <w:rFonts w:cs="Times New Roman"/>
      <w:szCs w:val="24"/>
    </w:rPr>
  </w:style>
  <w:style w:type="paragraph" w:styleId="FootnoteText">
    <w:name w:val="footnote text"/>
    <w:basedOn w:val="Normal"/>
    <w:semiHidden/>
    <w:rsid w:val="009B7EBC"/>
    <w:pPr>
      <w:widowControl/>
      <w:autoSpaceDE/>
      <w:autoSpaceDN/>
      <w:adjustRightInd/>
      <w:jc w:val="left"/>
    </w:pPr>
    <w:rPr>
      <w:rFonts w:cs="Times New Roman"/>
      <w:sz w:val="20"/>
    </w:rPr>
  </w:style>
  <w:style w:type="character" w:styleId="FootnoteReference">
    <w:name w:val="footnote reference"/>
    <w:semiHidden/>
    <w:rsid w:val="009B7EBC"/>
    <w:rPr>
      <w:vertAlign w:val="superscript"/>
    </w:rPr>
  </w:style>
  <w:style w:type="character" w:styleId="Hyperlink">
    <w:name w:val="Hyperlink"/>
    <w:rsid w:val="009B7EBC"/>
    <w:rPr>
      <w:color w:val="0000FF"/>
      <w:u w:val="single"/>
    </w:rPr>
  </w:style>
  <w:style w:type="character" w:styleId="CommentReference">
    <w:name w:val="annotation reference"/>
    <w:semiHidden/>
    <w:rsid w:val="00903F7C"/>
    <w:rPr>
      <w:sz w:val="16"/>
      <w:szCs w:val="16"/>
    </w:rPr>
  </w:style>
  <w:style w:type="paragraph" w:styleId="CommentText">
    <w:name w:val="annotation text"/>
    <w:basedOn w:val="Normal"/>
    <w:semiHidden/>
    <w:rsid w:val="00903F7C"/>
    <w:rPr>
      <w:sz w:val="20"/>
    </w:rPr>
  </w:style>
  <w:style w:type="paragraph" w:styleId="CommentSubject">
    <w:name w:val="annotation subject"/>
    <w:basedOn w:val="CommentText"/>
    <w:next w:val="CommentText"/>
    <w:semiHidden/>
    <w:rsid w:val="00903F7C"/>
    <w:rPr>
      <w:b/>
      <w:bCs/>
    </w:rPr>
  </w:style>
  <w:style w:type="paragraph" w:styleId="BalloonText">
    <w:name w:val="Balloon Text"/>
    <w:basedOn w:val="Normal"/>
    <w:semiHidden/>
    <w:rsid w:val="00903F7C"/>
    <w:rPr>
      <w:rFonts w:ascii="Tahoma" w:hAnsi="Tahoma" w:cs="Tahoma"/>
      <w:sz w:val="16"/>
      <w:szCs w:val="16"/>
    </w:rPr>
  </w:style>
  <w:style w:type="paragraph" w:styleId="Revision">
    <w:name w:val="Revision"/>
    <w:hidden/>
    <w:uiPriority w:val="99"/>
    <w:semiHidden/>
    <w:rsid w:val="00735206"/>
    <w:rPr>
      <w:rFonts w:cs="Arial"/>
      <w:sz w:val="24"/>
    </w:rPr>
  </w:style>
  <w:style w:type="paragraph" w:styleId="ListParagraph">
    <w:name w:val="List Paragraph"/>
    <w:basedOn w:val="Normal"/>
    <w:uiPriority w:val="34"/>
    <w:qFormat/>
    <w:rsid w:val="00CD137D"/>
    <w:pPr>
      <w:ind w:left="720"/>
      <w:contextualSpacing/>
    </w:pPr>
  </w:style>
  <w:style w:type="paragraph" w:styleId="Header">
    <w:name w:val="header"/>
    <w:basedOn w:val="Normal"/>
    <w:link w:val="HeaderChar"/>
    <w:uiPriority w:val="99"/>
    <w:rsid w:val="007D7D8E"/>
    <w:pPr>
      <w:tabs>
        <w:tab w:val="center" w:pos="4153"/>
        <w:tab w:val="right" w:pos="8306"/>
      </w:tabs>
    </w:pPr>
  </w:style>
  <w:style w:type="character" w:customStyle="1" w:styleId="HeaderChar">
    <w:name w:val="Header Char"/>
    <w:link w:val="Header"/>
    <w:uiPriority w:val="99"/>
    <w:rsid w:val="007D7D8E"/>
    <w:rPr>
      <w:rFonts w:cs="Arial"/>
      <w:sz w:val="24"/>
    </w:rPr>
  </w:style>
  <w:style w:type="paragraph" w:styleId="Footer">
    <w:name w:val="footer"/>
    <w:basedOn w:val="Normal"/>
    <w:link w:val="FooterChar"/>
    <w:uiPriority w:val="99"/>
    <w:rsid w:val="007D7D8E"/>
    <w:pPr>
      <w:tabs>
        <w:tab w:val="center" w:pos="4153"/>
        <w:tab w:val="right" w:pos="8306"/>
      </w:tabs>
    </w:pPr>
  </w:style>
  <w:style w:type="character" w:customStyle="1" w:styleId="FooterChar">
    <w:name w:val="Footer Char"/>
    <w:link w:val="Footer"/>
    <w:uiPriority w:val="99"/>
    <w:rsid w:val="007D7D8E"/>
    <w:rPr>
      <w:rFonts w:cs="Arial"/>
      <w:sz w:val="24"/>
    </w:rPr>
  </w:style>
  <w:style w:type="table" w:styleId="TableGrid">
    <w:name w:val="Table Grid"/>
    <w:basedOn w:val="TableNormal"/>
    <w:rsid w:val="00A536A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8B13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903193">
      <w:bodyDiv w:val="1"/>
      <w:marLeft w:val="0"/>
      <w:marRight w:val="0"/>
      <w:marTop w:val="0"/>
      <w:marBottom w:val="0"/>
      <w:divBdr>
        <w:top w:val="none" w:sz="0" w:space="0" w:color="auto"/>
        <w:left w:val="none" w:sz="0" w:space="0" w:color="auto"/>
        <w:bottom w:val="none" w:sz="0" w:space="0" w:color="auto"/>
        <w:right w:val="none" w:sz="0" w:space="0" w:color="auto"/>
      </w:divBdr>
    </w:div>
    <w:div w:id="9730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687</Words>
  <Characters>4546</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līgums</vt:lpstr>
    </vt:vector>
  </TitlesOfParts>
  <Company>Hewlett-Packard Company</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dc:title>
  <dc:creator>Gints Kārkliņš</dc:creator>
  <cp:lastModifiedBy>Baiba Jakobsone</cp:lastModifiedBy>
  <cp:revision>2</cp:revision>
  <cp:lastPrinted>2011-03-18T08:53:00Z</cp:lastPrinted>
  <dcterms:created xsi:type="dcterms:W3CDTF">2023-12-13T11:01:00Z</dcterms:created>
  <dcterms:modified xsi:type="dcterms:W3CDTF">2023-12-13T11:01:00Z</dcterms:modified>
</cp:coreProperties>
</file>